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68F" w:rsidRPr="00652E4B" w:rsidRDefault="0061068F" w:rsidP="00FA3994">
      <w:pPr>
        <w:pStyle w:val="Title"/>
        <w:rPr>
          <w:rFonts w:ascii="Times New Roman" w:hAnsi="Times New Roman" w:cs="Times New Roman"/>
        </w:rPr>
      </w:pPr>
    </w:p>
    <w:p w:rsidR="00711FCB" w:rsidRPr="00652E4B" w:rsidRDefault="003842CB" w:rsidP="00FA3994">
      <w:pPr>
        <w:pStyle w:val="Title"/>
        <w:rPr>
          <w:rFonts w:ascii="Times New Roman" w:hAnsi="Times New Roman" w:cs="Times New Roman"/>
        </w:rPr>
      </w:pPr>
      <w:r w:rsidRPr="00652E4B">
        <w:rPr>
          <w:rFonts w:ascii="Times New Roman" w:hAnsi="Times New Roman" w:cs="Times New Roman"/>
        </w:rPr>
        <w:t xml:space="preserve">EC-GSM – </w:t>
      </w:r>
      <w:r w:rsidR="00FA3994" w:rsidRPr="00652E4B">
        <w:rPr>
          <w:rFonts w:ascii="Times New Roman" w:hAnsi="Times New Roman" w:cs="Times New Roman"/>
        </w:rPr>
        <w:t>L</w:t>
      </w:r>
      <w:r w:rsidR="006B17D5" w:rsidRPr="00652E4B">
        <w:rPr>
          <w:rFonts w:ascii="Times New Roman" w:hAnsi="Times New Roman" w:cs="Times New Roman"/>
        </w:rPr>
        <w:t xml:space="preserve">ink-Level Performance of </w:t>
      </w:r>
      <w:r w:rsidR="00CC75F4" w:rsidRPr="00652E4B">
        <w:rPr>
          <w:rFonts w:ascii="Times New Roman" w:hAnsi="Times New Roman" w:cs="Times New Roman"/>
        </w:rPr>
        <w:t>EC-AGCH</w:t>
      </w:r>
    </w:p>
    <w:p w:rsidR="003B5A41" w:rsidRPr="00652E4B" w:rsidRDefault="008317F7" w:rsidP="00652E4B">
      <w:pPr>
        <w:pStyle w:val="Heading1"/>
      </w:pPr>
      <w:r w:rsidRPr="00652E4B">
        <w:t>Introduction</w:t>
      </w:r>
    </w:p>
    <w:p w:rsidR="008317F7" w:rsidRPr="00652E4B" w:rsidRDefault="008317F7" w:rsidP="00CC1427">
      <w:pPr>
        <w:pStyle w:val="BodyText"/>
        <w:jc w:val="both"/>
        <w:rPr>
          <w:rFonts w:ascii="Times New Roman" w:hAnsi="Times New Roman" w:cs="Times New Roman"/>
        </w:rPr>
      </w:pPr>
      <w:r w:rsidRPr="00652E4B">
        <w:rPr>
          <w:rFonts w:ascii="Times New Roman" w:hAnsi="Times New Roman" w:cs="Times New Roman"/>
        </w:rPr>
        <w:t>At GERAN#62 a new feasibility study named Cellul</w:t>
      </w:r>
      <w:r w:rsidR="0004366B" w:rsidRPr="00652E4B">
        <w:rPr>
          <w:rFonts w:ascii="Times New Roman" w:hAnsi="Times New Roman" w:cs="Times New Roman"/>
        </w:rPr>
        <w:t xml:space="preserve">ar System Support for Ultra Low </w:t>
      </w:r>
      <w:r w:rsidRPr="00652E4B">
        <w:rPr>
          <w:rFonts w:ascii="Times New Roman" w:hAnsi="Times New Roman" w:cs="Times New Roman"/>
        </w:rPr>
        <w:t xml:space="preserve">Complexity and Low Throughput Internet of Things (WI code: </w:t>
      </w:r>
      <w:proofErr w:type="spellStart"/>
      <w:r w:rsidRPr="00652E4B">
        <w:rPr>
          <w:rFonts w:ascii="Times New Roman" w:hAnsi="Times New Roman" w:cs="Times New Roman"/>
        </w:rPr>
        <w:t>FS_IoT_LC</w:t>
      </w:r>
      <w:proofErr w:type="spellEnd"/>
      <w:r w:rsidRPr="00652E4B">
        <w:rPr>
          <w:rFonts w:ascii="Times New Roman" w:hAnsi="Times New Roman" w:cs="Times New Roman"/>
        </w:rPr>
        <w:t xml:space="preserve">)  was approved, see </w:t>
      </w:r>
      <w:r w:rsidRPr="00652E4B">
        <w:rPr>
          <w:rFonts w:ascii="Times New Roman" w:hAnsi="Times New Roman" w:cs="Times New Roman"/>
        </w:rPr>
        <w:fldChar w:fldCharType="begin"/>
      </w:r>
      <w:r w:rsidRPr="00652E4B">
        <w:rPr>
          <w:rFonts w:ascii="Times New Roman" w:hAnsi="Times New Roman" w:cs="Times New Roman"/>
        </w:rPr>
        <w:instrText xml:space="preserve"> REF _Ref397674406 \r \h </w:instrText>
      </w:r>
      <w:r w:rsidR="00F857F5" w:rsidRPr="00652E4B">
        <w:rPr>
          <w:rFonts w:ascii="Times New Roman" w:hAnsi="Times New Roman" w:cs="Times New Roman"/>
        </w:rPr>
        <w:instrText xml:space="preserve"> \* MERGEFORMAT </w:instrText>
      </w:r>
      <w:r w:rsidRPr="00652E4B">
        <w:rPr>
          <w:rFonts w:ascii="Times New Roman" w:hAnsi="Times New Roman" w:cs="Times New Roman"/>
        </w:rPr>
      </w:r>
      <w:r w:rsidRPr="00652E4B">
        <w:rPr>
          <w:rFonts w:ascii="Times New Roman" w:hAnsi="Times New Roman" w:cs="Times New Roman"/>
        </w:rPr>
        <w:fldChar w:fldCharType="separate"/>
      </w:r>
      <w:r w:rsidRPr="00652E4B">
        <w:rPr>
          <w:rFonts w:ascii="Times New Roman" w:hAnsi="Times New Roman" w:cs="Times New Roman"/>
        </w:rPr>
        <w:t>[1]</w:t>
      </w:r>
      <w:r w:rsidRPr="00652E4B">
        <w:rPr>
          <w:rFonts w:ascii="Times New Roman" w:hAnsi="Times New Roman" w:cs="Times New Roman"/>
        </w:rPr>
        <w:fldChar w:fldCharType="end"/>
      </w:r>
      <w:r w:rsidRPr="00652E4B">
        <w:rPr>
          <w:rFonts w:ascii="Times New Roman" w:hAnsi="Times New Roman" w:cs="Times New Roman"/>
        </w:rPr>
        <w:t>.</w:t>
      </w:r>
    </w:p>
    <w:p w:rsidR="008317F7" w:rsidRPr="00652E4B" w:rsidRDefault="008317F7" w:rsidP="00CC1427">
      <w:pPr>
        <w:pStyle w:val="BodyText"/>
        <w:jc w:val="both"/>
        <w:rPr>
          <w:rFonts w:ascii="Times New Roman" w:hAnsi="Times New Roman" w:cs="Times New Roman"/>
        </w:rPr>
      </w:pPr>
      <w:r w:rsidRPr="00652E4B">
        <w:rPr>
          <w:rFonts w:ascii="Times New Roman" w:hAnsi="Times New Roman" w:cs="Times New Roman"/>
        </w:rPr>
        <w:t xml:space="preserve">One of the main objectives </w:t>
      </w:r>
      <w:r w:rsidR="00D846DF" w:rsidRPr="00652E4B">
        <w:rPr>
          <w:rFonts w:ascii="Times New Roman" w:hAnsi="Times New Roman" w:cs="Times New Roman"/>
        </w:rPr>
        <w:t xml:space="preserve">in </w:t>
      </w:r>
      <w:proofErr w:type="spellStart"/>
      <w:r w:rsidR="00D846DF" w:rsidRPr="00652E4B">
        <w:rPr>
          <w:rFonts w:ascii="Times New Roman" w:hAnsi="Times New Roman" w:cs="Times New Roman"/>
        </w:rPr>
        <w:t>FS_IoT_LC</w:t>
      </w:r>
      <w:proofErr w:type="spellEnd"/>
      <w:r w:rsidR="00D846DF" w:rsidRPr="00652E4B">
        <w:rPr>
          <w:rFonts w:ascii="Times New Roman" w:hAnsi="Times New Roman" w:cs="Times New Roman"/>
        </w:rPr>
        <w:t xml:space="preserve"> </w:t>
      </w:r>
      <w:r w:rsidRPr="00652E4B">
        <w:rPr>
          <w:rFonts w:ascii="Times New Roman" w:hAnsi="Times New Roman" w:cs="Times New Roman"/>
        </w:rPr>
        <w:t xml:space="preserve">is to increase the coverage compared to existing GPRS services. </w:t>
      </w:r>
      <w:r w:rsidR="00D846DF" w:rsidRPr="00652E4B">
        <w:rPr>
          <w:rFonts w:ascii="Times New Roman" w:hAnsi="Times New Roman" w:cs="Times New Roman"/>
        </w:rPr>
        <w:t>In case of evolving GSM, t</w:t>
      </w:r>
      <w:r w:rsidRPr="00652E4B">
        <w:rPr>
          <w:rFonts w:ascii="Times New Roman" w:hAnsi="Times New Roman" w:cs="Times New Roman"/>
        </w:rPr>
        <w:t>he most straight forward way is to make use of blind repetitions. This is what has been proposed for the E</w:t>
      </w:r>
      <w:r w:rsidR="00D846DF" w:rsidRPr="00652E4B">
        <w:rPr>
          <w:rFonts w:ascii="Times New Roman" w:hAnsi="Times New Roman" w:cs="Times New Roman"/>
        </w:rPr>
        <w:t xml:space="preserve">xtended </w:t>
      </w:r>
      <w:r w:rsidRPr="00652E4B">
        <w:rPr>
          <w:rFonts w:ascii="Times New Roman" w:hAnsi="Times New Roman" w:cs="Times New Roman"/>
        </w:rPr>
        <w:t>C</w:t>
      </w:r>
      <w:r w:rsidR="00D846DF" w:rsidRPr="00652E4B">
        <w:rPr>
          <w:rFonts w:ascii="Times New Roman" w:hAnsi="Times New Roman" w:cs="Times New Roman"/>
        </w:rPr>
        <w:t xml:space="preserve">overage </w:t>
      </w:r>
      <w:r w:rsidRPr="00652E4B">
        <w:rPr>
          <w:rFonts w:ascii="Times New Roman" w:hAnsi="Times New Roman" w:cs="Times New Roman"/>
        </w:rPr>
        <w:t>GSM</w:t>
      </w:r>
      <w:r w:rsidR="00D846DF" w:rsidRPr="00652E4B">
        <w:rPr>
          <w:rFonts w:ascii="Times New Roman" w:hAnsi="Times New Roman" w:cs="Times New Roman"/>
        </w:rPr>
        <w:t xml:space="preserve"> (EC-GSM)</w:t>
      </w:r>
      <w:r w:rsidRPr="00652E4B">
        <w:rPr>
          <w:rFonts w:ascii="Times New Roman" w:hAnsi="Times New Roman" w:cs="Times New Roman"/>
        </w:rPr>
        <w:t xml:space="preserve"> concept (earlier known as GSM Evolution), see </w:t>
      </w:r>
      <w:r w:rsidR="00E31EC2" w:rsidRPr="00652E4B">
        <w:rPr>
          <w:rFonts w:ascii="Times New Roman" w:hAnsi="Times New Roman" w:cs="Times New Roman"/>
        </w:rPr>
        <w:fldChar w:fldCharType="begin"/>
      </w:r>
      <w:r w:rsidR="00E31EC2" w:rsidRPr="00652E4B">
        <w:rPr>
          <w:rFonts w:ascii="Times New Roman" w:hAnsi="Times New Roman" w:cs="Times New Roman"/>
        </w:rPr>
        <w:instrText xml:space="preserve"> REF _Ref409863848 \r \h </w:instrText>
      </w:r>
      <w:r w:rsidR="00F857F5" w:rsidRPr="00652E4B">
        <w:rPr>
          <w:rFonts w:ascii="Times New Roman" w:hAnsi="Times New Roman" w:cs="Times New Roman"/>
        </w:rPr>
        <w:instrText xml:space="preserve"> \* MERGEFORMAT </w:instrText>
      </w:r>
      <w:r w:rsidR="00E31EC2" w:rsidRPr="00652E4B">
        <w:rPr>
          <w:rFonts w:ascii="Times New Roman" w:hAnsi="Times New Roman" w:cs="Times New Roman"/>
        </w:rPr>
      </w:r>
      <w:r w:rsidR="00E31EC2" w:rsidRPr="00652E4B">
        <w:rPr>
          <w:rFonts w:ascii="Times New Roman" w:hAnsi="Times New Roman" w:cs="Times New Roman"/>
        </w:rPr>
        <w:fldChar w:fldCharType="separate"/>
      </w:r>
      <w:r w:rsidR="00E31EC2" w:rsidRPr="00652E4B">
        <w:rPr>
          <w:rFonts w:ascii="Times New Roman" w:hAnsi="Times New Roman" w:cs="Times New Roman"/>
        </w:rPr>
        <w:t>[2]</w:t>
      </w:r>
      <w:r w:rsidR="00E31EC2" w:rsidRPr="00652E4B">
        <w:rPr>
          <w:rFonts w:ascii="Times New Roman" w:hAnsi="Times New Roman" w:cs="Times New Roman"/>
        </w:rPr>
        <w:fldChar w:fldCharType="end"/>
      </w:r>
      <w:r w:rsidRPr="00652E4B">
        <w:rPr>
          <w:rFonts w:ascii="Times New Roman" w:hAnsi="Times New Roman" w:cs="Times New Roman"/>
        </w:rPr>
        <w:t>.</w:t>
      </w:r>
    </w:p>
    <w:p w:rsidR="00A82BB0" w:rsidRPr="00652E4B" w:rsidRDefault="00A82BB0" w:rsidP="00CC1427">
      <w:pPr>
        <w:pStyle w:val="BodyText"/>
        <w:jc w:val="both"/>
        <w:rPr>
          <w:rFonts w:ascii="Times New Roman" w:hAnsi="Times New Roman" w:cs="Times New Roman"/>
        </w:rPr>
      </w:pPr>
      <w:r w:rsidRPr="00652E4B">
        <w:rPr>
          <w:rFonts w:ascii="Times New Roman" w:hAnsi="Times New Roman" w:cs="Times New Roman"/>
        </w:rPr>
        <w:t>In this contribution,</w:t>
      </w:r>
      <w:r w:rsidR="0004366B" w:rsidRPr="00652E4B">
        <w:rPr>
          <w:rFonts w:ascii="Times New Roman" w:hAnsi="Times New Roman" w:cs="Times New Roman"/>
        </w:rPr>
        <w:t xml:space="preserve"> th</w:t>
      </w:r>
      <w:r w:rsidR="00EA58A1" w:rsidRPr="00652E4B">
        <w:rPr>
          <w:rFonts w:ascii="Times New Roman" w:hAnsi="Times New Roman" w:cs="Times New Roman"/>
        </w:rPr>
        <w:t xml:space="preserve">e Link-Level performance of </w:t>
      </w:r>
      <w:r w:rsidR="00CC75F4" w:rsidRPr="00652E4B">
        <w:rPr>
          <w:rFonts w:ascii="Times New Roman" w:hAnsi="Times New Roman" w:cs="Times New Roman"/>
        </w:rPr>
        <w:t>EC-AGCH</w:t>
      </w:r>
      <w:r w:rsidR="0004366B" w:rsidRPr="00652E4B">
        <w:rPr>
          <w:rFonts w:ascii="Times New Roman" w:hAnsi="Times New Roman" w:cs="Times New Roman"/>
        </w:rPr>
        <w:t xml:space="preserve"> with blind repetitions is provided, and it shows </w:t>
      </w:r>
      <w:r w:rsidR="00A761AE" w:rsidRPr="00652E4B">
        <w:rPr>
          <w:rFonts w:ascii="Times New Roman" w:hAnsi="Times New Roman" w:cs="Times New Roman"/>
        </w:rPr>
        <w:t>current repetition scheme has risk</w:t>
      </w:r>
      <w:r w:rsidR="0004366B" w:rsidRPr="00652E4B">
        <w:rPr>
          <w:rFonts w:ascii="Times New Roman" w:hAnsi="Times New Roman" w:cs="Times New Roman"/>
        </w:rPr>
        <w:t xml:space="preserve"> to satisfy the SNR requirement and </w:t>
      </w:r>
      <w:r w:rsidR="00BB1DF5" w:rsidRPr="00652E4B">
        <w:rPr>
          <w:rFonts w:ascii="Times New Roman" w:hAnsi="Times New Roman" w:cs="Times New Roman"/>
        </w:rPr>
        <w:t>is very memory consumptive</w:t>
      </w:r>
      <w:r w:rsidR="00A761AE" w:rsidRPr="00652E4B">
        <w:rPr>
          <w:rFonts w:ascii="Times New Roman" w:hAnsi="Times New Roman" w:cs="Times New Roman"/>
        </w:rPr>
        <w:t>, and it’s not an implementation complexity economical method</w:t>
      </w:r>
      <w:r w:rsidR="0004366B" w:rsidRPr="00652E4B">
        <w:rPr>
          <w:rFonts w:ascii="Times New Roman" w:hAnsi="Times New Roman" w:cs="Times New Roman"/>
        </w:rPr>
        <w:t>.</w:t>
      </w:r>
    </w:p>
    <w:p w:rsidR="00464ED4" w:rsidRPr="00652E4B" w:rsidRDefault="00CC75F4" w:rsidP="00652E4B">
      <w:pPr>
        <w:pStyle w:val="Heading1"/>
      </w:pPr>
      <w:r w:rsidRPr="00652E4B">
        <w:t>EC-AGCH</w:t>
      </w:r>
      <w:r w:rsidR="0004366B" w:rsidRPr="00652E4B">
        <w:t xml:space="preserve"> </w:t>
      </w:r>
      <w:r w:rsidR="00483F8D" w:rsidRPr="00652E4B">
        <w:t>burst mapping</w:t>
      </w:r>
      <w:r w:rsidR="0004366B" w:rsidRPr="00652E4B">
        <w:t xml:space="preserve"> with blind repetition</w:t>
      </w:r>
    </w:p>
    <w:p w:rsidR="00464ED4" w:rsidRPr="00652E4B" w:rsidRDefault="00464ED4" w:rsidP="00464ED4">
      <w:pPr>
        <w:rPr>
          <w:rFonts w:ascii="Times New Roman" w:hAnsi="Times New Roman" w:cs="Times New Roman"/>
        </w:rPr>
      </w:pPr>
    </w:p>
    <w:p w:rsidR="006B37FC" w:rsidRPr="00652E4B" w:rsidRDefault="00464ED4" w:rsidP="006B37FC">
      <w:pPr>
        <w:pStyle w:val="B2"/>
        <w:keepNext/>
        <w:ind w:left="0" w:firstLine="0"/>
        <w:jc w:val="center"/>
        <w:rPr>
          <w:rFonts w:ascii="Times New Roman" w:hAnsi="Times New Roman" w:cs="Times New Roman"/>
          <w:color w:val="C0504D" w:themeColor="accent2"/>
        </w:rPr>
      </w:pPr>
      <w:r w:rsidRPr="00652E4B">
        <w:rPr>
          <w:rFonts w:ascii="Times New Roman" w:hAnsi="Times New Roman" w:cs="Times New Roman"/>
          <w:noProof/>
        </w:rPr>
        <w:drawing>
          <wp:inline distT="0" distB="0" distL="0" distR="0">
            <wp:extent cx="5250180" cy="2431076"/>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0180" cy="2431076"/>
                    </a:xfrm>
                    <a:prstGeom prst="rect">
                      <a:avLst/>
                    </a:prstGeom>
                    <a:noFill/>
                  </pic:spPr>
                </pic:pic>
              </a:graphicData>
            </a:graphic>
          </wp:inline>
        </w:drawing>
      </w:r>
    </w:p>
    <w:p w:rsidR="006B37FC" w:rsidRPr="00652E4B" w:rsidRDefault="006B37FC" w:rsidP="00457ADA">
      <w:pPr>
        <w:pStyle w:val="Caption"/>
        <w:ind w:left="0"/>
        <w:rPr>
          <w:rFonts w:ascii="Times New Roman" w:hAnsi="Times New Roman" w:cs="Times New Roman"/>
        </w:rPr>
      </w:pPr>
      <w:bookmarkStart w:id="0" w:name="_Ref396211801"/>
      <w:r w:rsidRPr="00652E4B">
        <w:rPr>
          <w:rFonts w:ascii="Times New Roman" w:hAnsi="Times New Roman" w:cs="Times New Roman"/>
          <w:color w:val="C0504D" w:themeColor="accent2"/>
        </w:rPr>
        <w:t xml:space="preserve">                   </w:t>
      </w:r>
      <w:r w:rsidRPr="00652E4B">
        <w:rPr>
          <w:rFonts w:ascii="Times New Roman" w:hAnsi="Times New Roman" w:cs="Times New Roman"/>
        </w:rPr>
        <w:t>Figure 1</w:t>
      </w:r>
      <w:bookmarkEnd w:id="0"/>
      <w:r w:rsidR="00F57AE6" w:rsidRPr="00652E4B">
        <w:rPr>
          <w:rFonts w:ascii="Times New Roman" w:hAnsi="Times New Roman" w:cs="Times New Roman"/>
        </w:rPr>
        <w:t>.</w:t>
      </w:r>
      <w:r w:rsidRPr="00652E4B">
        <w:rPr>
          <w:rFonts w:ascii="Times New Roman" w:hAnsi="Times New Roman" w:cs="Times New Roman"/>
        </w:rPr>
        <w:t xml:space="preserve"> </w:t>
      </w:r>
      <w:r w:rsidR="00CC75F4" w:rsidRPr="00652E4B">
        <w:rPr>
          <w:rFonts w:ascii="Times New Roman" w:hAnsi="Times New Roman" w:cs="Times New Roman"/>
        </w:rPr>
        <w:t>EC-AGCH</w:t>
      </w:r>
      <w:r w:rsidR="00E23246" w:rsidRPr="00652E4B">
        <w:rPr>
          <w:rFonts w:ascii="Times New Roman" w:hAnsi="Times New Roman" w:cs="Times New Roman"/>
        </w:rPr>
        <w:t xml:space="preserve"> mapping. CC1 (top)</w:t>
      </w:r>
      <w:proofErr w:type="gramStart"/>
      <w:r w:rsidR="00E23246" w:rsidRPr="00652E4B">
        <w:rPr>
          <w:rFonts w:ascii="Times New Roman" w:hAnsi="Times New Roman" w:cs="Times New Roman"/>
        </w:rPr>
        <w:t>, …,</w:t>
      </w:r>
      <w:proofErr w:type="gramEnd"/>
      <w:r w:rsidR="00E23246" w:rsidRPr="00652E4B">
        <w:rPr>
          <w:rFonts w:ascii="Times New Roman" w:hAnsi="Times New Roman" w:cs="Times New Roman"/>
        </w:rPr>
        <w:t xml:space="preserve"> CC6 (bottom)</w:t>
      </w:r>
    </w:p>
    <w:p w:rsidR="00F57AE6" w:rsidRPr="00652E4B" w:rsidRDefault="00F57AE6" w:rsidP="00F57AE6">
      <w:pPr>
        <w:rPr>
          <w:rFonts w:ascii="Times New Roman" w:hAnsi="Times New Roman" w:cs="Times New Roman"/>
        </w:rPr>
      </w:pPr>
    </w:p>
    <w:p w:rsidR="006B37FC" w:rsidRPr="00652E4B" w:rsidRDefault="006B37FC" w:rsidP="0096148E">
      <w:pPr>
        <w:pStyle w:val="BodyText"/>
        <w:jc w:val="both"/>
        <w:rPr>
          <w:rFonts w:ascii="Times New Roman" w:hAnsi="Times New Roman" w:cs="Times New Roman"/>
        </w:rPr>
      </w:pPr>
      <w:r w:rsidRPr="00652E4B">
        <w:rPr>
          <w:rFonts w:ascii="Times New Roman" w:hAnsi="Times New Roman" w:cs="Times New Roman"/>
        </w:rPr>
        <w:t xml:space="preserve">As Figure 1 shows, </w:t>
      </w:r>
      <w:r w:rsidR="00220DE0" w:rsidRPr="00652E4B">
        <w:rPr>
          <w:rFonts w:ascii="Times New Roman" w:hAnsi="Times New Roman" w:cs="Times New Roman"/>
        </w:rPr>
        <w:t>burst mapping is different for different coverage class [3]</w:t>
      </w:r>
      <w:r w:rsidR="002D0D9A" w:rsidRPr="00652E4B">
        <w:rPr>
          <w:rFonts w:ascii="Times New Roman" w:hAnsi="Times New Roman" w:cs="Times New Roman"/>
        </w:rPr>
        <w:t>.To achieve the -6.3 dB SNR performance requirement, 32 radio blocks as shown in burs</w:t>
      </w:r>
      <w:r w:rsidR="00495194" w:rsidRPr="00652E4B">
        <w:rPr>
          <w:rFonts w:ascii="Times New Roman" w:hAnsi="Times New Roman" w:cs="Times New Roman"/>
        </w:rPr>
        <w:t>t mapping of CC6 should be used</w:t>
      </w:r>
      <w:r w:rsidRPr="00652E4B">
        <w:rPr>
          <w:rFonts w:ascii="Times New Roman" w:hAnsi="Times New Roman" w:cs="Times New Roman"/>
        </w:rPr>
        <w:t>.</w:t>
      </w:r>
      <w:r w:rsidR="0041607A" w:rsidRPr="00652E4B">
        <w:rPr>
          <w:rFonts w:ascii="Times New Roman" w:hAnsi="Times New Roman" w:cs="Times New Roman"/>
        </w:rPr>
        <w:t xml:space="preserve"> </w:t>
      </w:r>
    </w:p>
    <w:p w:rsidR="00BA330E" w:rsidRPr="00652E4B" w:rsidRDefault="002C4D10" w:rsidP="00652E4B">
      <w:pPr>
        <w:pStyle w:val="Heading1"/>
      </w:pPr>
      <w:r w:rsidRPr="00652E4B">
        <w:t>Simulations</w:t>
      </w:r>
    </w:p>
    <w:p w:rsidR="00B013E8" w:rsidRPr="00652E4B" w:rsidRDefault="00B013E8" w:rsidP="00652E4B">
      <w:pPr>
        <w:pStyle w:val="Heading2"/>
      </w:pPr>
      <w:r w:rsidRPr="00652E4B">
        <w:t>Simulation assumptions</w:t>
      </w:r>
    </w:p>
    <w:p w:rsidR="002C4D10" w:rsidRPr="00652E4B" w:rsidRDefault="002C4D10" w:rsidP="0096148E">
      <w:pPr>
        <w:pStyle w:val="BodyText"/>
        <w:rPr>
          <w:rFonts w:ascii="Times New Roman" w:hAnsi="Times New Roman" w:cs="Times New Roman"/>
        </w:rPr>
      </w:pPr>
      <w:r w:rsidRPr="00652E4B">
        <w:rPr>
          <w:rFonts w:ascii="Times New Roman" w:hAnsi="Times New Roman" w:cs="Times New Roman"/>
        </w:rPr>
        <w:t xml:space="preserve">Simulations have been run </w:t>
      </w:r>
      <w:r w:rsidR="00D846DF" w:rsidRPr="00652E4B">
        <w:rPr>
          <w:rFonts w:ascii="Times New Roman" w:hAnsi="Times New Roman" w:cs="Times New Roman"/>
        </w:rPr>
        <w:t xml:space="preserve">for </w:t>
      </w:r>
      <w:r w:rsidR="00CC75F4" w:rsidRPr="00652E4B">
        <w:rPr>
          <w:rFonts w:ascii="Times New Roman" w:hAnsi="Times New Roman" w:cs="Times New Roman"/>
        </w:rPr>
        <w:t>EC-AGCH</w:t>
      </w:r>
      <w:r w:rsidRPr="00652E4B">
        <w:rPr>
          <w:rFonts w:ascii="Times New Roman" w:hAnsi="Times New Roman" w:cs="Times New Roman"/>
        </w:rPr>
        <w:t xml:space="preserve"> </w:t>
      </w:r>
      <w:r w:rsidR="00B013E8" w:rsidRPr="00652E4B">
        <w:rPr>
          <w:rFonts w:ascii="Times New Roman" w:hAnsi="Times New Roman" w:cs="Times New Roman"/>
        </w:rPr>
        <w:t xml:space="preserve">using </w:t>
      </w:r>
      <w:r w:rsidR="00EB0BDF" w:rsidRPr="00652E4B">
        <w:rPr>
          <w:rFonts w:ascii="Times New Roman" w:hAnsi="Times New Roman" w:cs="Times New Roman"/>
        </w:rPr>
        <w:t>32</w:t>
      </w:r>
      <w:r w:rsidR="0041607A" w:rsidRPr="00652E4B">
        <w:rPr>
          <w:rFonts w:ascii="Times New Roman" w:hAnsi="Times New Roman" w:cs="Times New Roman"/>
        </w:rPr>
        <w:t xml:space="preserve"> blind transmissions</w:t>
      </w:r>
      <w:r w:rsidR="00EB0BDF" w:rsidRPr="00652E4B">
        <w:rPr>
          <w:rFonts w:ascii="Times New Roman" w:hAnsi="Times New Roman" w:cs="Times New Roman"/>
        </w:rPr>
        <w:t xml:space="preserve"> of radio block</w:t>
      </w:r>
      <w:r w:rsidR="0041607A" w:rsidRPr="00652E4B">
        <w:rPr>
          <w:rFonts w:ascii="Times New Roman" w:hAnsi="Times New Roman" w:cs="Times New Roman"/>
        </w:rPr>
        <w:t>.</w:t>
      </w:r>
    </w:p>
    <w:p w:rsidR="0041607A" w:rsidRPr="00652E4B" w:rsidRDefault="006B0C1C" w:rsidP="0096148E">
      <w:pPr>
        <w:pStyle w:val="BodyText"/>
        <w:rPr>
          <w:rFonts w:ascii="Times New Roman" w:hAnsi="Times New Roman" w:cs="Times New Roman"/>
        </w:rPr>
      </w:pPr>
      <w:r w:rsidRPr="00652E4B">
        <w:rPr>
          <w:rFonts w:ascii="Times New Roman" w:hAnsi="Times New Roman" w:cs="Times New Roman"/>
        </w:rPr>
        <w:t xml:space="preserve">The simulation assumptions from </w:t>
      </w:r>
      <w:r w:rsidR="00C80AFA" w:rsidRPr="00652E4B">
        <w:rPr>
          <w:rFonts w:ascii="Times New Roman" w:hAnsi="Times New Roman" w:cs="Times New Roman"/>
        </w:rPr>
        <w:fldChar w:fldCharType="begin"/>
      </w:r>
      <w:r w:rsidR="00C80AFA" w:rsidRPr="00652E4B">
        <w:rPr>
          <w:rFonts w:ascii="Times New Roman" w:hAnsi="Times New Roman" w:cs="Times New Roman"/>
        </w:rPr>
        <w:instrText xml:space="preserve"> REF _Ref410178536 \r \h </w:instrText>
      </w:r>
      <w:r w:rsidR="0096148E" w:rsidRPr="00652E4B">
        <w:rPr>
          <w:rFonts w:ascii="Times New Roman" w:hAnsi="Times New Roman" w:cs="Times New Roman"/>
        </w:rPr>
        <w:instrText xml:space="preserve"> \* MERGEFORMAT </w:instrText>
      </w:r>
      <w:r w:rsidR="00C80AFA" w:rsidRPr="00652E4B">
        <w:rPr>
          <w:rFonts w:ascii="Times New Roman" w:hAnsi="Times New Roman" w:cs="Times New Roman"/>
        </w:rPr>
      </w:r>
      <w:r w:rsidR="00C80AFA" w:rsidRPr="00652E4B">
        <w:rPr>
          <w:rFonts w:ascii="Times New Roman" w:hAnsi="Times New Roman" w:cs="Times New Roman"/>
        </w:rPr>
        <w:fldChar w:fldCharType="separate"/>
      </w:r>
      <w:r w:rsidR="0041607A" w:rsidRPr="00652E4B">
        <w:rPr>
          <w:rFonts w:ascii="Times New Roman" w:hAnsi="Times New Roman" w:cs="Times New Roman"/>
        </w:rPr>
        <w:t>[3</w:t>
      </w:r>
      <w:r w:rsidR="00C80AFA" w:rsidRPr="00652E4B">
        <w:rPr>
          <w:rFonts w:ascii="Times New Roman" w:hAnsi="Times New Roman" w:cs="Times New Roman"/>
        </w:rPr>
        <w:t>]</w:t>
      </w:r>
      <w:r w:rsidR="00C80AFA" w:rsidRPr="00652E4B">
        <w:rPr>
          <w:rFonts w:ascii="Times New Roman" w:hAnsi="Times New Roman" w:cs="Times New Roman"/>
        </w:rPr>
        <w:fldChar w:fldCharType="end"/>
      </w:r>
      <w:r w:rsidR="0041607A" w:rsidRPr="00652E4B">
        <w:rPr>
          <w:rFonts w:ascii="Times New Roman" w:hAnsi="Times New Roman" w:cs="Times New Roman"/>
        </w:rPr>
        <w:t xml:space="preserve"> have been followed.</w:t>
      </w:r>
    </w:p>
    <w:p w:rsidR="00377573" w:rsidRPr="00652E4B" w:rsidRDefault="00D8307C" w:rsidP="0004366B">
      <w:pPr>
        <w:pStyle w:val="BodyText"/>
        <w:rPr>
          <w:rFonts w:ascii="Times New Roman" w:hAnsi="Times New Roman" w:cs="Times New Roman"/>
        </w:rPr>
      </w:pPr>
      <w:r w:rsidRPr="00652E4B">
        <w:rPr>
          <w:rFonts w:ascii="Times New Roman" w:hAnsi="Times New Roman" w:cs="Times New Roman"/>
        </w:rPr>
        <w:lastRenderedPageBreak/>
        <w:t xml:space="preserve">Some of the parameters are listed in </w:t>
      </w:r>
      <w:r w:rsidRPr="00652E4B">
        <w:rPr>
          <w:rFonts w:ascii="Times New Roman" w:hAnsi="Times New Roman" w:cs="Times New Roman"/>
        </w:rPr>
        <w:fldChar w:fldCharType="begin"/>
      </w:r>
      <w:r w:rsidRPr="00652E4B">
        <w:rPr>
          <w:rFonts w:ascii="Times New Roman" w:hAnsi="Times New Roman" w:cs="Times New Roman"/>
        </w:rPr>
        <w:instrText xml:space="preserve"> REF _Ref409870382 \h </w:instrText>
      </w:r>
      <w:r w:rsidR="00F857F5" w:rsidRPr="00652E4B">
        <w:rPr>
          <w:rFonts w:ascii="Times New Roman" w:hAnsi="Times New Roman" w:cs="Times New Roman"/>
        </w:rPr>
        <w:instrText xml:space="preserve"> \* MERGEFORMAT </w:instrText>
      </w:r>
      <w:r w:rsidRPr="00652E4B">
        <w:rPr>
          <w:rFonts w:ascii="Times New Roman" w:hAnsi="Times New Roman" w:cs="Times New Roman"/>
        </w:rPr>
      </w:r>
      <w:r w:rsidRPr="00652E4B">
        <w:rPr>
          <w:rFonts w:ascii="Times New Roman" w:hAnsi="Times New Roman" w:cs="Times New Roman"/>
        </w:rPr>
        <w:fldChar w:fldCharType="separate"/>
      </w:r>
      <w:r w:rsidRPr="00652E4B">
        <w:rPr>
          <w:rFonts w:ascii="Times New Roman" w:hAnsi="Times New Roman" w:cs="Times New Roman"/>
        </w:rPr>
        <w:t xml:space="preserve">Table </w:t>
      </w:r>
      <w:r w:rsidRPr="00652E4B">
        <w:rPr>
          <w:rFonts w:ascii="Times New Roman" w:hAnsi="Times New Roman" w:cs="Times New Roman"/>
          <w:noProof/>
        </w:rPr>
        <w:t>1</w:t>
      </w:r>
      <w:r w:rsidRPr="00652E4B">
        <w:rPr>
          <w:rFonts w:ascii="Times New Roman" w:hAnsi="Times New Roman" w:cs="Times New Roman"/>
        </w:rPr>
        <w:fldChar w:fldCharType="end"/>
      </w:r>
      <w:r w:rsidRPr="00652E4B">
        <w:rPr>
          <w:rFonts w:ascii="Times New Roman" w:hAnsi="Times New Roman" w:cs="Times New Roman"/>
        </w:rPr>
        <w:t>.</w:t>
      </w:r>
    </w:p>
    <w:p w:rsidR="00D8307C" w:rsidRPr="00652E4B" w:rsidRDefault="00D8307C" w:rsidP="0004366B">
      <w:pPr>
        <w:pStyle w:val="Caption"/>
        <w:ind w:left="0"/>
        <w:rPr>
          <w:rFonts w:ascii="Times New Roman" w:hAnsi="Times New Roman" w:cs="Times New Roman"/>
        </w:rPr>
      </w:pPr>
      <w:bookmarkStart w:id="1" w:name="_Ref409870382"/>
      <w:r w:rsidRPr="00652E4B">
        <w:rPr>
          <w:rFonts w:ascii="Times New Roman" w:hAnsi="Times New Roman" w:cs="Times New Roman"/>
        </w:rPr>
        <w:t xml:space="preserve">Table </w:t>
      </w:r>
      <w:r w:rsidR="00952D7D" w:rsidRPr="00652E4B">
        <w:rPr>
          <w:rFonts w:ascii="Times New Roman" w:hAnsi="Times New Roman" w:cs="Times New Roman"/>
        </w:rPr>
        <w:fldChar w:fldCharType="begin"/>
      </w:r>
      <w:r w:rsidR="00952D7D" w:rsidRPr="00652E4B">
        <w:rPr>
          <w:rFonts w:ascii="Times New Roman" w:hAnsi="Times New Roman" w:cs="Times New Roman"/>
        </w:rPr>
        <w:instrText xml:space="preserve"> SEQ Table \* ARABIC </w:instrText>
      </w:r>
      <w:r w:rsidR="00952D7D" w:rsidRPr="00652E4B">
        <w:rPr>
          <w:rFonts w:ascii="Times New Roman" w:hAnsi="Times New Roman" w:cs="Times New Roman"/>
        </w:rPr>
        <w:fldChar w:fldCharType="separate"/>
      </w:r>
      <w:r w:rsidRPr="00652E4B">
        <w:rPr>
          <w:rFonts w:ascii="Times New Roman" w:hAnsi="Times New Roman" w:cs="Times New Roman"/>
          <w:noProof/>
        </w:rPr>
        <w:t>1</w:t>
      </w:r>
      <w:r w:rsidR="00952D7D" w:rsidRPr="00652E4B">
        <w:rPr>
          <w:rFonts w:ascii="Times New Roman" w:hAnsi="Times New Roman" w:cs="Times New Roman"/>
          <w:noProof/>
        </w:rPr>
        <w:fldChar w:fldCharType="end"/>
      </w:r>
      <w:bookmarkEnd w:id="1"/>
      <w:r w:rsidRPr="00652E4B">
        <w:rPr>
          <w:rFonts w:ascii="Times New Roman" w:hAnsi="Times New Roman" w:cs="Times New Roman"/>
        </w:rPr>
        <w:t>. Simulation assumptions</w:t>
      </w:r>
    </w:p>
    <w:tbl>
      <w:tblPr>
        <w:tblW w:w="4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4"/>
      </w:tblGrid>
      <w:tr w:rsidR="0041607A" w:rsidRPr="00652E4B" w:rsidTr="001E330A">
        <w:trPr>
          <w:jc w:val="center"/>
        </w:trPr>
        <w:tc>
          <w:tcPr>
            <w:tcW w:w="2312" w:type="dxa"/>
            <w:shd w:val="clear" w:color="auto" w:fill="DBE5F1"/>
          </w:tcPr>
          <w:p w:rsidR="0041607A" w:rsidRPr="00652E4B" w:rsidRDefault="0041607A" w:rsidP="008E3014">
            <w:pPr>
              <w:keepNext/>
              <w:jc w:val="center"/>
              <w:rPr>
                <w:rFonts w:ascii="Times New Roman" w:hAnsi="Times New Roman" w:cs="Times New Roman"/>
              </w:rPr>
            </w:pPr>
            <w:r w:rsidRPr="00652E4B">
              <w:rPr>
                <w:rFonts w:ascii="Times New Roman" w:hAnsi="Times New Roman" w:cs="Times New Roman"/>
              </w:rPr>
              <w:t>Parameter</w:t>
            </w:r>
          </w:p>
        </w:tc>
        <w:tc>
          <w:tcPr>
            <w:tcW w:w="2414" w:type="dxa"/>
            <w:shd w:val="clear" w:color="auto" w:fill="DBE5F1"/>
          </w:tcPr>
          <w:p w:rsidR="0041607A" w:rsidRPr="00652E4B" w:rsidRDefault="0041607A" w:rsidP="008E3014">
            <w:pPr>
              <w:keepNext/>
              <w:jc w:val="center"/>
              <w:rPr>
                <w:rFonts w:ascii="Times New Roman" w:hAnsi="Times New Roman" w:cs="Times New Roman"/>
              </w:rPr>
            </w:pPr>
            <w:r w:rsidRPr="00652E4B">
              <w:rPr>
                <w:rFonts w:ascii="Times New Roman" w:hAnsi="Times New Roman" w:cs="Times New Roman"/>
              </w:rPr>
              <w:t>Value</w:t>
            </w:r>
          </w:p>
        </w:tc>
      </w:tr>
      <w:tr w:rsidR="0041607A" w:rsidRPr="00652E4B" w:rsidTr="001E330A">
        <w:trPr>
          <w:jc w:val="center"/>
        </w:trPr>
        <w:tc>
          <w:tcPr>
            <w:tcW w:w="2312" w:type="dxa"/>
            <w:shd w:val="clear" w:color="auto" w:fill="auto"/>
          </w:tcPr>
          <w:p w:rsidR="0041607A" w:rsidRPr="00652E4B" w:rsidRDefault="001E330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Logical Channel</w:t>
            </w:r>
          </w:p>
        </w:tc>
        <w:tc>
          <w:tcPr>
            <w:tcW w:w="2414" w:type="dxa"/>
          </w:tcPr>
          <w:p w:rsidR="0041607A" w:rsidRPr="00652E4B" w:rsidRDefault="00CC75F4"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EC-AGCH</w:t>
            </w:r>
          </w:p>
        </w:tc>
      </w:tr>
      <w:tr w:rsidR="0041607A" w:rsidRPr="00652E4B" w:rsidTr="001E330A">
        <w:trPr>
          <w:jc w:val="center"/>
        </w:trPr>
        <w:tc>
          <w:tcPr>
            <w:tcW w:w="2312" w:type="dxa"/>
            <w:shd w:val="clear" w:color="auto" w:fill="auto"/>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 xml:space="preserve">Channel </w:t>
            </w:r>
          </w:p>
        </w:tc>
        <w:tc>
          <w:tcPr>
            <w:tcW w:w="2414" w:type="dxa"/>
          </w:tcPr>
          <w:p w:rsidR="0041607A" w:rsidRPr="00652E4B" w:rsidRDefault="008E61C6" w:rsidP="008E61C6">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TU</w:t>
            </w:r>
          </w:p>
        </w:tc>
      </w:tr>
      <w:tr w:rsidR="0041607A" w:rsidRPr="00652E4B" w:rsidTr="001E330A">
        <w:trPr>
          <w:jc w:val="center"/>
        </w:trPr>
        <w:tc>
          <w:tcPr>
            <w:tcW w:w="2312" w:type="dxa"/>
            <w:shd w:val="clear" w:color="auto" w:fill="auto"/>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Mobile speed</w:t>
            </w:r>
          </w:p>
        </w:tc>
        <w:tc>
          <w:tcPr>
            <w:tcW w:w="2414" w:type="dxa"/>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1.2 km/h</w:t>
            </w:r>
          </w:p>
        </w:tc>
      </w:tr>
      <w:tr w:rsidR="0041607A" w:rsidRPr="00652E4B" w:rsidTr="001E330A">
        <w:trPr>
          <w:jc w:val="center"/>
        </w:trPr>
        <w:tc>
          <w:tcPr>
            <w:tcW w:w="2312" w:type="dxa"/>
            <w:shd w:val="clear" w:color="auto" w:fill="auto"/>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 xml:space="preserve">Band </w:t>
            </w:r>
          </w:p>
        </w:tc>
        <w:tc>
          <w:tcPr>
            <w:tcW w:w="2414" w:type="dxa"/>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GSM 900</w:t>
            </w:r>
          </w:p>
        </w:tc>
      </w:tr>
      <w:tr w:rsidR="0041607A" w:rsidRPr="00652E4B" w:rsidTr="001E330A">
        <w:trPr>
          <w:jc w:val="center"/>
        </w:trPr>
        <w:tc>
          <w:tcPr>
            <w:tcW w:w="2312" w:type="dxa"/>
            <w:shd w:val="clear" w:color="auto" w:fill="auto"/>
          </w:tcPr>
          <w:p w:rsidR="0041607A" w:rsidRPr="00652E4B" w:rsidRDefault="0041607A"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color w:val="000000" w:themeColor="text1"/>
                <w:kern w:val="24"/>
                <w:sz w:val="18"/>
                <w:szCs w:val="32"/>
              </w:rPr>
              <w:t>Impairments</w:t>
            </w:r>
          </w:p>
        </w:tc>
        <w:tc>
          <w:tcPr>
            <w:tcW w:w="2414" w:type="dxa"/>
          </w:tcPr>
          <w:p w:rsidR="0041607A" w:rsidRPr="00652E4B" w:rsidRDefault="0041607A" w:rsidP="001E330A">
            <w:pPr>
              <w:keepNext/>
              <w:rPr>
                <w:rFonts w:ascii="Times New Roman" w:eastAsia="Times New Roman" w:hAnsi="Times New Roman" w:cs="Times New Roman"/>
                <w:color w:val="000000" w:themeColor="text1"/>
                <w:kern w:val="24"/>
                <w:sz w:val="18"/>
                <w:szCs w:val="32"/>
              </w:rPr>
            </w:pPr>
            <w:r w:rsidRPr="00652E4B">
              <w:rPr>
                <w:rFonts w:ascii="Times New Roman" w:eastAsia="Times New Roman" w:hAnsi="Times New Roman" w:cs="Times New Roman"/>
                <w:color w:val="000000" w:themeColor="text1"/>
                <w:kern w:val="24"/>
                <w:sz w:val="18"/>
                <w:szCs w:val="32"/>
              </w:rPr>
              <w:t>Typical RX and TX.</w:t>
            </w:r>
            <w:r w:rsidR="001E330A" w:rsidRPr="00652E4B">
              <w:rPr>
                <w:rFonts w:ascii="Times New Roman" w:eastAsia="Times New Roman" w:hAnsi="Times New Roman" w:cs="Times New Roman"/>
                <w:color w:val="000000" w:themeColor="text1"/>
                <w:kern w:val="24"/>
                <w:sz w:val="18"/>
                <w:szCs w:val="32"/>
              </w:rPr>
              <w:t xml:space="preserve">  Frequency offset=0/5/10/30/60Hz</w:t>
            </w:r>
          </w:p>
        </w:tc>
      </w:tr>
      <w:tr w:rsidR="0041607A" w:rsidRPr="00652E4B" w:rsidTr="001E330A">
        <w:trPr>
          <w:jc w:val="center"/>
        </w:trPr>
        <w:tc>
          <w:tcPr>
            <w:tcW w:w="2312" w:type="dxa"/>
            <w:shd w:val="clear" w:color="auto" w:fill="auto"/>
          </w:tcPr>
          <w:p w:rsidR="0041607A" w:rsidRPr="00652E4B" w:rsidRDefault="0041607A" w:rsidP="00753198">
            <w:pPr>
              <w:keepNext/>
              <w:rPr>
                <w:rFonts w:ascii="Times New Roman" w:eastAsia="Times New Roman" w:hAnsi="Times New Roman" w:cs="Times New Roman"/>
                <w:color w:val="000000" w:themeColor="text1"/>
                <w:kern w:val="24"/>
                <w:sz w:val="18"/>
                <w:szCs w:val="32"/>
              </w:rPr>
            </w:pPr>
            <w:r w:rsidRPr="00652E4B">
              <w:rPr>
                <w:rFonts w:ascii="Times New Roman" w:eastAsia="Times New Roman" w:hAnsi="Times New Roman" w:cs="Times New Roman"/>
                <w:color w:val="000000" w:themeColor="text1"/>
                <w:kern w:val="24"/>
                <w:sz w:val="18"/>
                <w:szCs w:val="32"/>
              </w:rPr>
              <w:t>FEFC</w:t>
            </w:r>
          </w:p>
        </w:tc>
        <w:tc>
          <w:tcPr>
            <w:tcW w:w="2414" w:type="dxa"/>
          </w:tcPr>
          <w:p w:rsidR="0041607A" w:rsidRPr="00652E4B" w:rsidRDefault="0041607A" w:rsidP="0041607A">
            <w:pPr>
              <w:keepNext/>
              <w:ind w:left="-23" w:firstLine="23"/>
              <w:rPr>
                <w:rFonts w:ascii="Times New Roman" w:eastAsia="Times New Roman" w:hAnsi="Times New Roman" w:cs="Times New Roman"/>
                <w:color w:val="000000" w:themeColor="text1"/>
                <w:kern w:val="24"/>
                <w:sz w:val="18"/>
                <w:szCs w:val="32"/>
              </w:rPr>
            </w:pPr>
            <w:r w:rsidRPr="00652E4B">
              <w:rPr>
                <w:rFonts w:ascii="Times New Roman" w:eastAsia="Times New Roman" w:hAnsi="Times New Roman" w:cs="Times New Roman"/>
                <w:color w:val="000000" w:themeColor="text1"/>
                <w:kern w:val="24"/>
                <w:sz w:val="18"/>
                <w:szCs w:val="32"/>
              </w:rPr>
              <w:t>Range of possible frequency offsets detected [-108,108]Hz</w:t>
            </w:r>
          </w:p>
        </w:tc>
      </w:tr>
      <w:tr w:rsidR="0041607A" w:rsidRPr="00652E4B" w:rsidTr="001E330A">
        <w:trPr>
          <w:jc w:val="center"/>
        </w:trPr>
        <w:tc>
          <w:tcPr>
            <w:tcW w:w="2312" w:type="dxa"/>
            <w:shd w:val="clear" w:color="auto" w:fill="auto"/>
          </w:tcPr>
          <w:p w:rsidR="0041607A" w:rsidRPr="00652E4B" w:rsidRDefault="0041607A" w:rsidP="00753198">
            <w:pPr>
              <w:keepNext/>
              <w:rPr>
                <w:rFonts w:ascii="Times New Roman" w:eastAsia="Times New Roman" w:hAnsi="Times New Roman" w:cs="Times New Roman"/>
                <w:sz w:val="18"/>
                <w:szCs w:val="36"/>
              </w:rPr>
            </w:pPr>
            <w:r w:rsidRPr="00652E4B">
              <w:rPr>
                <w:rFonts w:ascii="Times New Roman" w:eastAsia="Times New Roman" w:hAnsi="Times New Roman" w:cs="Times New Roman"/>
                <w:kern w:val="24"/>
                <w:sz w:val="18"/>
                <w:szCs w:val="32"/>
              </w:rPr>
              <w:t>Number of repetitions</w:t>
            </w:r>
          </w:p>
        </w:tc>
        <w:tc>
          <w:tcPr>
            <w:tcW w:w="2414" w:type="dxa"/>
          </w:tcPr>
          <w:p w:rsidR="0041607A" w:rsidRPr="00652E4B" w:rsidRDefault="00D96F68" w:rsidP="008E3014">
            <w:pPr>
              <w:keepNext/>
              <w:rPr>
                <w:rFonts w:ascii="Times New Roman" w:eastAsia="Times New Roman" w:hAnsi="Times New Roman" w:cs="Times New Roman"/>
                <w:sz w:val="18"/>
                <w:szCs w:val="36"/>
              </w:rPr>
            </w:pPr>
            <w:r w:rsidRPr="00652E4B">
              <w:rPr>
                <w:rFonts w:ascii="Times New Roman" w:eastAsia="Times New Roman" w:hAnsi="Times New Roman" w:cs="Times New Roman"/>
                <w:kern w:val="24"/>
                <w:sz w:val="18"/>
                <w:szCs w:val="32"/>
              </w:rPr>
              <w:t>32</w:t>
            </w:r>
          </w:p>
        </w:tc>
      </w:tr>
      <w:tr w:rsidR="001E330A" w:rsidRPr="00652E4B" w:rsidTr="001917D6">
        <w:trPr>
          <w:jc w:val="center"/>
        </w:trPr>
        <w:tc>
          <w:tcPr>
            <w:tcW w:w="2312" w:type="dxa"/>
            <w:shd w:val="clear" w:color="auto" w:fill="auto"/>
          </w:tcPr>
          <w:p w:rsidR="001E330A" w:rsidRPr="00652E4B" w:rsidRDefault="001E330A" w:rsidP="00753198">
            <w:pPr>
              <w:keepNext/>
              <w:ind w:left="11" w:hanging="11"/>
              <w:rPr>
                <w:rFonts w:ascii="Times New Roman" w:eastAsia="Times New Roman" w:hAnsi="Times New Roman" w:cs="Times New Roman"/>
                <w:color w:val="000000" w:themeColor="text1"/>
                <w:kern w:val="24"/>
                <w:sz w:val="18"/>
                <w:szCs w:val="32"/>
              </w:rPr>
            </w:pPr>
            <w:r w:rsidRPr="00652E4B">
              <w:rPr>
                <w:rFonts w:ascii="Times New Roman" w:hAnsi="Times New Roman" w:cs="Times New Roman"/>
                <w:color w:val="000000" w:themeColor="text1"/>
                <w:kern w:val="24"/>
                <w:sz w:val="18"/>
                <w:szCs w:val="32"/>
              </w:rPr>
              <w:t>CC</w:t>
            </w:r>
          </w:p>
        </w:tc>
        <w:tc>
          <w:tcPr>
            <w:tcW w:w="2414" w:type="dxa"/>
          </w:tcPr>
          <w:p w:rsidR="001E330A" w:rsidRPr="00652E4B" w:rsidRDefault="001E330A" w:rsidP="00753198">
            <w:pPr>
              <w:keepNext/>
              <w:ind w:left="11" w:hanging="11"/>
              <w:rPr>
                <w:rFonts w:ascii="Times New Roman" w:eastAsia="Times New Roman" w:hAnsi="Times New Roman" w:cs="Times New Roman"/>
                <w:color w:val="000000" w:themeColor="text1"/>
                <w:kern w:val="24"/>
                <w:sz w:val="18"/>
                <w:szCs w:val="32"/>
              </w:rPr>
            </w:pPr>
            <w:r w:rsidRPr="00652E4B">
              <w:rPr>
                <w:rFonts w:ascii="Times New Roman" w:hAnsi="Times New Roman" w:cs="Times New Roman"/>
                <w:color w:val="000000" w:themeColor="text1"/>
                <w:kern w:val="24"/>
                <w:sz w:val="18"/>
                <w:szCs w:val="32"/>
              </w:rPr>
              <w:t>6</w:t>
            </w:r>
          </w:p>
        </w:tc>
      </w:tr>
    </w:tbl>
    <w:p w:rsidR="0041607A" w:rsidRPr="00652E4B" w:rsidRDefault="00C21F6A" w:rsidP="00C21F6A">
      <w:pPr>
        <w:tabs>
          <w:tab w:val="left" w:pos="7404"/>
        </w:tabs>
        <w:rPr>
          <w:rFonts w:ascii="Times New Roman" w:hAnsi="Times New Roman" w:cs="Times New Roman"/>
        </w:rPr>
      </w:pPr>
      <w:r w:rsidRPr="00652E4B">
        <w:rPr>
          <w:rFonts w:ascii="Times New Roman" w:hAnsi="Times New Roman" w:cs="Times New Roman"/>
        </w:rPr>
        <w:tab/>
      </w:r>
      <w:r w:rsidRPr="00652E4B">
        <w:rPr>
          <w:rFonts w:ascii="Times New Roman" w:hAnsi="Times New Roman" w:cs="Times New Roman"/>
        </w:rPr>
        <w:tab/>
      </w:r>
    </w:p>
    <w:p w:rsidR="00D8307C" w:rsidRPr="00652E4B" w:rsidRDefault="00753198" w:rsidP="0004366B">
      <w:pPr>
        <w:rPr>
          <w:rFonts w:ascii="Times New Roman" w:hAnsi="Times New Roman" w:cs="Times New Roman"/>
        </w:rPr>
      </w:pPr>
      <w:r w:rsidRPr="00652E4B">
        <w:rPr>
          <w:rFonts w:ascii="Times New Roman" w:hAnsi="Times New Roman" w:cs="Times New Roman"/>
        </w:rPr>
        <w:t>In the simulation,</w:t>
      </w:r>
      <w:r w:rsidR="00C13535" w:rsidRPr="00652E4B">
        <w:rPr>
          <w:rFonts w:ascii="Times New Roman" w:hAnsi="Times New Roman" w:cs="Times New Roman"/>
        </w:rPr>
        <w:t xml:space="preserve"> the performance</w:t>
      </w:r>
      <w:r w:rsidRPr="00652E4B">
        <w:rPr>
          <w:rFonts w:ascii="Times New Roman" w:hAnsi="Times New Roman" w:cs="Times New Roman"/>
        </w:rPr>
        <w:t xml:space="preserve"> with and without IQ accumulation are compared.</w:t>
      </w:r>
    </w:p>
    <w:p w:rsidR="00B013E8" w:rsidRPr="00652E4B" w:rsidRDefault="00B013E8" w:rsidP="00652E4B">
      <w:pPr>
        <w:pStyle w:val="Heading2"/>
      </w:pPr>
      <w:r w:rsidRPr="00652E4B">
        <w:t>Results</w:t>
      </w:r>
    </w:p>
    <w:p w:rsidR="00084072" w:rsidRPr="00652E4B" w:rsidRDefault="00846B80" w:rsidP="0004366B">
      <w:pPr>
        <w:jc w:val="center"/>
        <w:rPr>
          <w:rFonts w:ascii="Times New Roman" w:hAnsi="Times New Roman" w:cs="Times New Roman"/>
        </w:rPr>
      </w:pPr>
      <w:r w:rsidRPr="00652E4B">
        <w:rPr>
          <w:rFonts w:ascii="Times New Roman" w:hAnsi="Times New Roman" w:cs="Times New Roman"/>
          <w:noProof/>
        </w:rPr>
        <w:drawing>
          <wp:inline distT="0" distB="0" distL="0" distR="0" wp14:anchorId="4FD01E61" wp14:editId="5E64EDC8">
            <wp:extent cx="5110480" cy="4237355"/>
            <wp:effectExtent l="0" t="0" r="13970" b="1079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02E4" w:rsidRPr="00652E4B" w:rsidRDefault="00B402E4" w:rsidP="0004366B">
      <w:pPr>
        <w:pStyle w:val="Caption"/>
        <w:ind w:left="0"/>
        <w:rPr>
          <w:rFonts w:ascii="Times New Roman" w:hAnsi="Times New Roman" w:cs="Times New Roman"/>
        </w:rPr>
      </w:pPr>
      <w:r w:rsidRPr="00652E4B">
        <w:rPr>
          <w:rFonts w:ascii="Times New Roman" w:hAnsi="Times New Roman" w:cs="Times New Roman"/>
        </w:rPr>
        <w:t xml:space="preserve">Figure </w:t>
      </w:r>
      <w:r w:rsidR="00952D7D" w:rsidRPr="00652E4B">
        <w:rPr>
          <w:rFonts w:ascii="Times New Roman" w:hAnsi="Times New Roman" w:cs="Times New Roman"/>
        </w:rPr>
        <w:fldChar w:fldCharType="begin"/>
      </w:r>
      <w:r w:rsidR="00952D7D" w:rsidRPr="00652E4B">
        <w:rPr>
          <w:rFonts w:ascii="Times New Roman" w:hAnsi="Times New Roman" w:cs="Times New Roman"/>
        </w:rPr>
        <w:instrText xml:space="preserve"> SEQ Figure \* ARABIC </w:instrText>
      </w:r>
      <w:r w:rsidR="00952D7D" w:rsidRPr="00652E4B">
        <w:rPr>
          <w:rFonts w:ascii="Times New Roman" w:hAnsi="Times New Roman" w:cs="Times New Roman"/>
        </w:rPr>
        <w:fldChar w:fldCharType="separate"/>
      </w:r>
      <w:r w:rsidRPr="00652E4B">
        <w:rPr>
          <w:rFonts w:ascii="Times New Roman" w:hAnsi="Times New Roman" w:cs="Times New Roman"/>
          <w:noProof/>
        </w:rPr>
        <w:t>2</w:t>
      </w:r>
      <w:r w:rsidR="00952D7D" w:rsidRPr="00652E4B">
        <w:rPr>
          <w:rFonts w:ascii="Times New Roman" w:hAnsi="Times New Roman" w:cs="Times New Roman"/>
          <w:noProof/>
        </w:rPr>
        <w:fldChar w:fldCharType="end"/>
      </w:r>
      <w:r w:rsidRPr="00652E4B">
        <w:rPr>
          <w:rFonts w:ascii="Times New Roman" w:hAnsi="Times New Roman" w:cs="Times New Roman"/>
        </w:rPr>
        <w:t xml:space="preserve">. Performance of </w:t>
      </w:r>
      <w:r w:rsidR="00CC75F4" w:rsidRPr="00652E4B">
        <w:rPr>
          <w:rFonts w:ascii="Times New Roman" w:hAnsi="Times New Roman" w:cs="Times New Roman"/>
        </w:rPr>
        <w:t>EC-AGCH</w:t>
      </w:r>
      <w:r w:rsidR="0041607A" w:rsidRPr="00652E4B">
        <w:rPr>
          <w:rFonts w:ascii="Times New Roman" w:hAnsi="Times New Roman" w:cs="Times New Roman"/>
        </w:rPr>
        <w:t xml:space="preserve"> </w:t>
      </w:r>
      <w:r w:rsidR="0051592F" w:rsidRPr="00652E4B">
        <w:rPr>
          <w:rFonts w:ascii="Times New Roman" w:hAnsi="Times New Roman" w:cs="Times New Roman"/>
        </w:rPr>
        <w:t>without</w:t>
      </w:r>
      <w:r w:rsidR="0041607A" w:rsidRPr="00652E4B">
        <w:rPr>
          <w:rFonts w:ascii="Times New Roman" w:hAnsi="Times New Roman" w:cs="Times New Roman"/>
        </w:rPr>
        <w:t xml:space="preserve"> IQ Accumulation</w:t>
      </w:r>
    </w:p>
    <w:p w:rsidR="0051592F" w:rsidRPr="00652E4B" w:rsidRDefault="0051592F" w:rsidP="0051592F">
      <w:pPr>
        <w:rPr>
          <w:rFonts w:ascii="Times New Roman" w:hAnsi="Times New Roman" w:cs="Times New Roman"/>
        </w:rPr>
      </w:pPr>
    </w:p>
    <w:p w:rsidR="00DA12D8" w:rsidRPr="00652E4B" w:rsidRDefault="00B402E4" w:rsidP="000410A7">
      <w:pPr>
        <w:pStyle w:val="BodyText"/>
        <w:jc w:val="both"/>
        <w:rPr>
          <w:rFonts w:ascii="Times New Roman" w:hAnsi="Times New Roman" w:cs="Times New Roman"/>
        </w:rPr>
      </w:pPr>
      <w:r w:rsidRPr="00652E4B">
        <w:rPr>
          <w:rFonts w:ascii="Times New Roman" w:hAnsi="Times New Roman" w:cs="Times New Roman"/>
        </w:rPr>
        <w:t>As can be seen</w:t>
      </w:r>
      <w:r w:rsidR="00846B80" w:rsidRPr="00652E4B">
        <w:rPr>
          <w:rFonts w:ascii="Times New Roman" w:hAnsi="Times New Roman" w:cs="Times New Roman"/>
        </w:rPr>
        <w:t xml:space="preserve"> from figure 2</w:t>
      </w:r>
      <w:r w:rsidRPr="00652E4B">
        <w:rPr>
          <w:rFonts w:ascii="Times New Roman" w:hAnsi="Times New Roman" w:cs="Times New Roman"/>
        </w:rPr>
        <w:t>,</w:t>
      </w:r>
      <w:r w:rsidR="00846B80" w:rsidRPr="00652E4B">
        <w:rPr>
          <w:rFonts w:ascii="Times New Roman" w:hAnsi="Times New Roman" w:cs="Times New Roman"/>
        </w:rPr>
        <w:t xml:space="preserve"> without IQ accumulation, the performance of </w:t>
      </w:r>
      <w:r w:rsidR="00CC75F4" w:rsidRPr="00652E4B">
        <w:rPr>
          <w:rFonts w:ascii="Times New Roman" w:hAnsi="Times New Roman" w:cs="Times New Roman"/>
        </w:rPr>
        <w:t>EC-AGCH</w:t>
      </w:r>
      <w:r w:rsidR="00846B80" w:rsidRPr="00652E4B">
        <w:rPr>
          <w:rFonts w:ascii="Times New Roman" w:hAnsi="Times New Roman" w:cs="Times New Roman"/>
        </w:rPr>
        <w:t xml:space="preserve"> is around 3 dB worse than the -6.3 dB requirement</w:t>
      </w:r>
      <w:r w:rsidR="00672ED0" w:rsidRPr="00652E4B">
        <w:rPr>
          <w:rFonts w:ascii="Times New Roman" w:hAnsi="Times New Roman" w:cs="Times New Roman"/>
        </w:rPr>
        <w:t>.</w:t>
      </w:r>
    </w:p>
    <w:p w:rsidR="00B033C8" w:rsidRPr="00652E4B" w:rsidRDefault="00B033C8" w:rsidP="000410A7">
      <w:pPr>
        <w:pStyle w:val="BodyText"/>
        <w:jc w:val="both"/>
        <w:rPr>
          <w:rFonts w:ascii="Times New Roman" w:hAnsi="Times New Roman" w:cs="Times New Roman"/>
        </w:rPr>
      </w:pPr>
    </w:p>
    <w:p w:rsidR="00AE398E" w:rsidRPr="00652E4B" w:rsidRDefault="00B033C8" w:rsidP="000410A7">
      <w:pPr>
        <w:pStyle w:val="BodyText"/>
        <w:jc w:val="both"/>
        <w:rPr>
          <w:rFonts w:ascii="Times New Roman" w:hAnsi="Times New Roman" w:cs="Times New Roman"/>
        </w:rPr>
      </w:pPr>
      <w:r w:rsidRPr="00652E4B">
        <w:rPr>
          <w:rFonts w:ascii="Times New Roman" w:hAnsi="Times New Roman" w:cs="Times New Roman"/>
        </w:rPr>
        <w:t>Figure 3 is the performance with IQ accumulation with</w:t>
      </w:r>
      <w:r w:rsidR="0082598B" w:rsidRPr="00652E4B">
        <w:rPr>
          <w:rFonts w:ascii="Times New Roman" w:hAnsi="Times New Roman" w:cs="Times New Roman"/>
        </w:rPr>
        <w:t>in</w:t>
      </w:r>
      <w:r w:rsidRPr="00652E4B">
        <w:rPr>
          <w:rFonts w:ascii="Times New Roman" w:hAnsi="Times New Roman" w:cs="Times New Roman"/>
        </w:rPr>
        <w:t xml:space="preserve"> every 51 multi-frame. </w:t>
      </w:r>
      <w:r w:rsidR="001E5858" w:rsidRPr="00652E4B">
        <w:rPr>
          <w:rFonts w:ascii="Times New Roman" w:hAnsi="Times New Roman" w:cs="Times New Roman"/>
        </w:rPr>
        <w:t>In figure 3, 0 Hz, 5 Hz and 10 Hz frequency offsets are simulated. The performance of 0 Hz frequency offset is very close to the performance of Ericsson. However, the performance is highly influenced</w:t>
      </w:r>
      <w:r w:rsidR="00F67957" w:rsidRPr="00652E4B">
        <w:rPr>
          <w:rFonts w:ascii="Times New Roman" w:hAnsi="Times New Roman" w:cs="Times New Roman"/>
        </w:rPr>
        <w:t xml:space="preserve"> by frequency offset. When the</w:t>
      </w:r>
      <w:r w:rsidR="001E5858" w:rsidRPr="00652E4B">
        <w:rPr>
          <w:rFonts w:ascii="Times New Roman" w:hAnsi="Times New Roman" w:cs="Times New Roman"/>
        </w:rPr>
        <w:t xml:space="preserve"> frequency offset is 5 Hz, the performance degradation is around 2 dB and the performance is very close to the -6.3 dB requirement. When the frequency offset is 10 Hz, the performance degradation is around 10 </w:t>
      </w:r>
      <w:proofErr w:type="spellStart"/>
      <w:r w:rsidR="001E5858" w:rsidRPr="00652E4B">
        <w:rPr>
          <w:rFonts w:ascii="Times New Roman" w:hAnsi="Times New Roman" w:cs="Times New Roman"/>
        </w:rPr>
        <w:t>dB.</w:t>
      </w:r>
      <w:proofErr w:type="spellEnd"/>
      <w:r w:rsidR="001E5858" w:rsidRPr="00652E4B">
        <w:rPr>
          <w:rFonts w:ascii="Times New Roman" w:hAnsi="Times New Roman" w:cs="Times New Roman"/>
        </w:rPr>
        <w:t xml:space="preserve">  S</w:t>
      </w:r>
      <w:r w:rsidR="004A39A9" w:rsidRPr="00652E4B">
        <w:rPr>
          <w:rFonts w:ascii="Times New Roman" w:hAnsi="Times New Roman" w:cs="Times New Roman"/>
        </w:rPr>
        <w:t>o, in order to fulfill</w:t>
      </w:r>
      <w:r w:rsidR="001E5858" w:rsidRPr="00652E4B">
        <w:rPr>
          <w:rFonts w:ascii="Times New Roman" w:hAnsi="Times New Roman" w:cs="Times New Roman"/>
        </w:rPr>
        <w:t xml:space="preserve"> the </w:t>
      </w:r>
      <w:r w:rsidR="004A39A9" w:rsidRPr="00652E4B">
        <w:rPr>
          <w:rFonts w:ascii="Times New Roman" w:hAnsi="Times New Roman" w:cs="Times New Roman"/>
        </w:rPr>
        <w:t>performance requirement, frequency offset should be less than 5 Hz. To achieve so stringent frequency offset requirement, offline Frequency Offset and Frequency Compensation (FEFC) must be used. That means IQ samples of 16 bursts which belong to the same 51 multi-frame must be buffered to improve the SNR and therefore improve the performance of FEFC. Buffering IQ samples of 16 bursts requires 10 k 16-bit word (</w:t>
      </w:r>
      <w:r w:rsidR="007A033A" w:rsidRPr="00652E4B">
        <w:rPr>
          <w:rFonts w:ascii="Times New Roman" w:hAnsi="Times New Roman" w:cs="Times New Roman"/>
        </w:rPr>
        <w:t>each burst has 320 complex-value IQ samples, so there are 320*2*16 = 10 k word</w:t>
      </w:r>
      <w:r w:rsidR="004A39A9" w:rsidRPr="00652E4B">
        <w:rPr>
          <w:rFonts w:ascii="Times New Roman" w:hAnsi="Times New Roman" w:cs="Times New Roman"/>
        </w:rPr>
        <w:t>)</w:t>
      </w:r>
      <w:r w:rsidR="007A033A" w:rsidRPr="00652E4B">
        <w:rPr>
          <w:rFonts w:ascii="Times New Roman" w:hAnsi="Times New Roman" w:cs="Times New Roman"/>
        </w:rPr>
        <w:t>. Besides, to accumulate IQ samples, continuous phase should be gu</w:t>
      </w:r>
      <w:r w:rsidR="00032918" w:rsidRPr="00652E4B">
        <w:rPr>
          <w:rFonts w:ascii="Times New Roman" w:hAnsi="Times New Roman" w:cs="Times New Roman"/>
        </w:rPr>
        <w:t>aranteed for the 16 bursts within</w:t>
      </w:r>
      <w:r w:rsidR="007A033A" w:rsidRPr="00652E4B">
        <w:rPr>
          <w:rFonts w:ascii="Times New Roman" w:hAnsi="Times New Roman" w:cs="Times New Roman"/>
        </w:rPr>
        <w:t xml:space="preserve"> one 51 multi-frame at both the BS side and the UE side. This requires the RF or at least PLL of both BS and UE is kept running. It’s not efficient from view point of power saving.</w:t>
      </w:r>
    </w:p>
    <w:p w:rsidR="00181381" w:rsidRPr="00652E4B" w:rsidRDefault="00181381" w:rsidP="00AE398E">
      <w:pPr>
        <w:pStyle w:val="BodyText"/>
        <w:rPr>
          <w:rFonts w:ascii="Times New Roman" w:hAnsi="Times New Roman" w:cs="Times New Roman"/>
        </w:rPr>
      </w:pPr>
    </w:p>
    <w:p w:rsidR="00AE398E" w:rsidRPr="00652E4B" w:rsidRDefault="00AB40B8" w:rsidP="00AE398E">
      <w:pPr>
        <w:pStyle w:val="BodyText"/>
        <w:jc w:val="center"/>
        <w:rPr>
          <w:rFonts w:ascii="Times New Roman" w:hAnsi="Times New Roman" w:cs="Times New Roman"/>
        </w:rPr>
      </w:pPr>
      <w:r w:rsidRPr="00652E4B">
        <w:rPr>
          <w:rFonts w:ascii="Times New Roman" w:hAnsi="Times New Roman" w:cs="Times New Roman"/>
          <w:noProof/>
        </w:rPr>
        <w:drawing>
          <wp:inline distT="0" distB="0" distL="0" distR="0" wp14:anchorId="23854B05" wp14:editId="31D65324">
            <wp:extent cx="5250180" cy="4375150"/>
            <wp:effectExtent l="0" t="0" r="7620" b="63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E398E" w:rsidRPr="00652E4B" w:rsidRDefault="00AB40B8" w:rsidP="00AE398E">
      <w:pPr>
        <w:pStyle w:val="Caption"/>
        <w:ind w:left="0"/>
        <w:rPr>
          <w:rFonts w:ascii="Times New Roman" w:hAnsi="Times New Roman" w:cs="Times New Roman"/>
        </w:rPr>
      </w:pPr>
      <w:r w:rsidRPr="00652E4B">
        <w:rPr>
          <w:rFonts w:ascii="Times New Roman" w:hAnsi="Times New Roman" w:cs="Times New Roman"/>
        </w:rPr>
        <w:t xml:space="preserve">Figure 3. Performance of </w:t>
      </w:r>
      <w:r w:rsidR="00CC75F4" w:rsidRPr="00652E4B">
        <w:rPr>
          <w:rFonts w:ascii="Times New Roman" w:hAnsi="Times New Roman" w:cs="Times New Roman"/>
        </w:rPr>
        <w:t>EC-AGCH</w:t>
      </w:r>
      <w:r w:rsidRPr="00652E4B">
        <w:rPr>
          <w:rFonts w:ascii="Times New Roman" w:hAnsi="Times New Roman" w:cs="Times New Roman"/>
        </w:rPr>
        <w:t xml:space="preserve"> with</w:t>
      </w:r>
      <w:r w:rsidR="00AE398E" w:rsidRPr="00652E4B">
        <w:rPr>
          <w:rFonts w:ascii="Times New Roman" w:hAnsi="Times New Roman" w:cs="Times New Roman"/>
        </w:rPr>
        <w:t xml:space="preserve"> IQ Accumulation</w:t>
      </w:r>
    </w:p>
    <w:p w:rsidR="002D5050" w:rsidRPr="00652E4B" w:rsidRDefault="002D5050" w:rsidP="00652E4B">
      <w:pPr>
        <w:pStyle w:val="Heading1"/>
      </w:pPr>
      <w:r w:rsidRPr="00652E4B">
        <w:lastRenderedPageBreak/>
        <w:t xml:space="preserve">Proposal </w:t>
      </w:r>
    </w:p>
    <w:p w:rsidR="002D5050" w:rsidRPr="00652E4B" w:rsidRDefault="002D5050" w:rsidP="002D5050">
      <w:pPr>
        <w:rPr>
          <w:rFonts w:ascii="Times New Roman" w:hAnsi="Times New Roman" w:cs="Times New Roman"/>
        </w:rPr>
      </w:pPr>
      <w:r w:rsidRPr="00652E4B">
        <w:rPr>
          <w:rFonts w:ascii="Times New Roman" w:hAnsi="Times New Roman" w:cs="Times New Roman"/>
        </w:rPr>
        <w:t xml:space="preserve">Blind repetition in one TDMA frame can avoid the sensitivity to frequency offset, </w:t>
      </w:r>
      <w:r w:rsidR="00BE76AC" w:rsidRPr="00652E4B">
        <w:rPr>
          <w:rFonts w:ascii="Times New Roman" w:hAnsi="Times New Roman" w:cs="Times New Roman"/>
        </w:rPr>
        <w:t xml:space="preserve">figure 4 is a mapping scheme by </w:t>
      </w:r>
      <w:r w:rsidRPr="00652E4B">
        <w:rPr>
          <w:rFonts w:ascii="Times New Roman" w:hAnsi="Times New Roman" w:cs="Times New Roman"/>
        </w:rPr>
        <w:t>repeat 8 times in one TMDA frame as following</w:t>
      </w:r>
      <w:r w:rsidR="00BE76AC" w:rsidRPr="00652E4B">
        <w:rPr>
          <w:rFonts w:ascii="Times New Roman" w:hAnsi="Times New Roman" w:cs="Times New Roman"/>
        </w:rPr>
        <w:t>.</w:t>
      </w:r>
    </w:p>
    <w:p w:rsidR="002D5050" w:rsidRPr="00652E4B" w:rsidRDefault="002D5050" w:rsidP="002D5050">
      <w:pPr>
        <w:rPr>
          <w:rFonts w:ascii="Times New Roman" w:hAnsi="Times New Roman" w:cs="Times New Roman"/>
        </w:rPr>
      </w:pPr>
      <w:r w:rsidRPr="00652E4B">
        <w:rPr>
          <w:rFonts w:ascii="Times New Roman" w:hAnsi="Times New Roman" w:cs="Times New Roman"/>
          <w:noProof/>
        </w:rPr>
        <w:drawing>
          <wp:inline distT="0" distB="0" distL="0" distR="0">
            <wp:extent cx="5373585" cy="103942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5416" cy="1047519"/>
                    </a:xfrm>
                    <a:prstGeom prst="rect">
                      <a:avLst/>
                    </a:prstGeom>
                    <a:noFill/>
                    <a:ln>
                      <a:noFill/>
                    </a:ln>
                  </pic:spPr>
                </pic:pic>
              </a:graphicData>
            </a:graphic>
          </wp:inline>
        </w:drawing>
      </w:r>
    </w:p>
    <w:p w:rsidR="002D5050" w:rsidRPr="00652E4B" w:rsidRDefault="002D5050" w:rsidP="00BE76AC">
      <w:pPr>
        <w:pStyle w:val="Caption"/>
        <w:ind w:left="0"/>
        <w:rPr>
          <w:rFonts w:ascii="Times New Roman" w:hAnsi="Times New Roman" w:cs="Times New Roman"/>
        </w:rPr>
      </w:pPr>
      <w:r w:rsidRPr="00652E4B">
        <w:rPr>
          <w:rFonts w:ascii="Times New Roman" w:hAnsi="Times New Roman" w:cs="Times New Roman"/>
        </w:rPr>
        <w:t xml:space="preserve">Figure 4. </w:t>
      </w:r>
      <w:r w:rsidR="00CC75F4" w:rsidRPr="00652E4B">
        <w:rPr>
          <w:rFonts w:ascii="Times New Roman" w:hAnsi="Times New Roman" w:cs="Times New Roman"/>
        </w:rPr>
        <w:t>EC-AGCH</w:t>
      </w:r>
      <w:r w:rsidR="00BE76AC" w:rsidRPr="00652E4B">
        <w:rPr>
          <w:rFonts w:ascii="Times New Roman" w:hAnsi="Times New Roman" w:cs="Times New Roman"/>
        </w:rPr>
        <w:t xml:space="preserve"> mapping of CC6 with blind repetition in one TDMA frames</w:t>
      </w:r>
    </w:p>
    <w:p w:rsidR="00BE76AC" w:rsidRPr="00652E4B" w:rsidRDefault="006150AD" w:rsidP="006150AD">
      <w:pPr>
        <w:jc w:val="center"/>
        <w:rPr>
          <w:rFonts w:ascii="Times New Roman" w:hAnsi="Times New Roman" w:cs="Times New Roman"/>
        </w:rPr>
      </w:pPr>
      <w:r w:rsidRPr="00652E4B">
        <w:rPr>
          <w:rFonts w:ascii="Times New Roman" w:hAnsi="Times New Roman" w:cs="Times New Roman"/>
          <w:noProof/>
        </w:rPr>
        <w:drawing>
          <wp:inline distT="0" distB="0" distL="0" distR="0" wp14:anchorId="0CF650EB">
            <wp:extent cx="5142529" cy="4121624"/>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9827" cy="4135488"/>
                    </a:xfrm>
                    <a:prstGeom prst="rect">
                      <a:avLst/>
                    </a:prstGeom>
                    <a:noFill/>
                  </pic:spPr>
                </pic:pic>
              </a:graphicData>
            </a:graphic>
          </wp:inline>
        </w:drawing>
      </w:r>
    </w:p>
    <w:p w:rsidR="00BE76AC" w:rsidRPr="00652E4B" w:rsidRDefault="00BE76AC" w:rsidP="00BE76AC">
      <w:pPr>
        <w:pStyle w:val="Caption"/>
        <w:ind w:left="0"/>
        <w:rPr>
          <w:rFonts w:ascii="Times New Roman" w:hAnsi="Times New Roman" w:cs="Times New Roman"/>
        </w:rPr>
      </w:pPr>
      <w:r w:rsidRPr="00652E4B">
        <w:rPr>
          <w:rFonts w:ascii="Times New Roman" w:hAnsi="Times New Roman" w:cs="Times New Roman"/>
        </w:rPr>
        <w:t xml:space="preserve">Figure 5. </w:t>
      </w:r>
      <w:r w:rsidR="00CC75F4" w:rsidRPr="00652E4B">
        <w:rPr>
          <w:rFonts w:ascii="Times New Roman" w:hAnsi="Times New Roman" w:cs="Times New Roman"/>
        </w:rPr>
        <w:t>EC-AGCH</w:t>
      </w:r>
      <w:r w:rsidRPr="00652E4B">
        <w:rPr>
          <w:rFonts w:ascii="Times New Roman" w:hAnsi="Times New Roman" w:cs="Times New Roman"/>
        </w:rPr>
        <w:t xml:space="preserve"> with 8 burst IQ Accumulation and blind repletion in one TDMA frame</w:t>
      </w:r>
    </w:p>
    <w:p w:rsidR="002D5050" w:rsidRPr="00652E4B" w:rsidRDefault="006150AD" w:rsidP="006150AD">
      <w:pPr>
        <w:jc w:val="center"/>
        <w:rPr>
          <w:rFonts w:ascii="Times New Roman" w:hAnsi="Times New Roman" w:cs="Times New Roman"/>
        </w:rPr>
      </w:pPr>
      <w:bookmarkStart w:id="2" w:name="_GoBack"/>
      <w:r w:rsidRPr="00652E4B">
        <w:rPr>
          <w:rFonts w:ascii="Times New Roman" w:hAnsi="Times New Roman" w:cs="Times New Roman"/>
          <w:noProof/>
        </w:rPr>
        <w:lastRenderedPageBreak/>
        <w:drawing>
          <wp:inline distT="0" distB="0" distL="0" distR="0" wp14:anchorId="0D822D2B">
            <wp:extent cx="5280899" cy="4223982"/>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9782" cy="4239086"/>
                    </a:xfrm>
                    <a:prstGeom prst="rect">
                      <a:avLst/>
                    </a:prstGeom>
                    <a:noFill/>
                  </pic:spPr>
                </pic:pic>
              </a:graphicData>
            </a:graphic>
          </wp:inline>
        </w:drawing>
      </w:r>
      <w:bookmarkEnd w:id="2"/>
    </w:p>
    <w:p w:rsidR="00BE76AC" w:rsidRPr="00652E4B" w:rsidRDefault="00BE76AC" w:rsidP="00BE76AC">
      <w:pPr>
        <w:pStyle w:val="Caption"/>
        <w:ind w:left="0"/>
        <w:rPr>
          <w:rFonts w:ascii="Times New Roman" w:hAnsi="Times New Roman" w:cs="Times New Roman"/>
        </w:rPr>
      </w:pPr>
      <w:r w:rsidRPr="00652E4B">
        <w:rPr>
          <w:rFonts w:ascii="Times New Roman" w:hAnsi="Times New Roman" w:cs="Times New Roman"/>
        </w:rPr>
        <w:t xml:space="preserve">Figure 6. </w:t>
      </w:r>
      <w:r w:rsidR="00CC75F4" w:rsidRPr="00652E4B">
        <w:rPr>
          <w:rFonts w:ascii="Times New Roman" w:hAnsi="Times New Roman" w:cs="Times New Roman"/>
        </w:rPr>
        <w:t>EC-AGCH</w:t>
      </w:r>
      <w:r w:rsidRPr="00652E4B">
        <w:rPr>
          <w:rFonts w:ascii="Times New Roman" w:hAnsi="Times New Roman" w:cs="Times New Roman"/>
        </w:rPr>
        <w:t xml:space="preserve"> with 16 burst IQ Accumulation and blind repletion in one TDMA frame</w:t>
      </w:r>
    </w:p>
    <w:p w:rsidR="00BE76AC" w:rsidRPr="00652E4B" w:rsidRDefault="00BE76AC" w:rsidP="000509D3">
      <w:pPr>
        <w:jc w:val="both"/>
        <w:rPr>
          <w:rFonts w:ascii="Times New Roman" w:hAnsi="Times New Roman" w:cs="Times New Roman"/>
        </w:rPr>
      </w:pPr>
      <w:r w:rsidRPr="00652E4B">
        <w:rPr>
          <w:rFonts w:ascii="Times New Roman" w:hAnsi="Times New Roman" w:cs="Times New Roman"/>
        </w:rPr>
        <w:t xml:space="preserve">Figure 5 and figure 6 are the link level simulation result with 8/16 burst IQ accumulation. The result shows even with up to 30Hz, the </w:t>
      </w:r>
      <w:r w:rsidR="00CC75F4" w:rsidRPr="00652E4B">
        <w:rPr>
          <w:rFonts w:ascii="Times New Roman" w:hAnsi="Times New Roman" w:cs="Times New Roman"/>
        </w:rPr>
        <w:t>EC-AGCH</w:t>
      </w:r>
      <w:r w:rsidRPr="00652E4B">
        <w:rPr>
          <w:rFonts w:ascii="Times New Roman" w:hAnsi="Times New Roman" w:cs="Times New Roman"/>
        </w:rPr>
        <w:t xml:space="preserve"> can achieve the -6.3dB SNR requirement.</w:t>
      </w:r>
    </w:p>
    <w:p w:rsidR="00453E86" w:rsidRPr="00652E4B" w:rsidRDefault="00453E86" w:rsidP="000509D3">
      <w:pPr>
        <w:jc w:val="both"/>
        <w:rPr>
          <w:rFonts w:ascii="Times New Roman" w:hAnsi="Times New Roman" w:cs="Times New Roman"/>
        </w:rPr>
      </w:pPr>
      <w:r w:rsidRPr="00652E4B">
        <w:rPr>
          <w:rFonts w:ascii="Times New Roman" w:hAnsi="Times New Roman" w:cs="Times New Roman"/>
        </w:rPr>
        <w:t>One additional benefit can be get by blind repeating in one TDMA Frame, the RF and system running time is reduced by 8 times (for old solution, in order to keep the phase continuous, RF and system should keep on during the whole IQ Accumulation duration)</w:t>
      </w:r>
    </w:p>
    <w:p w:rsidR="00B402E4" w:rsidRPr="00652E4B" w:rsidRDefault="00B402E4" w:rsidP="00652E4B">
      <w:pPr>
        <w:pStyle w:val="Heading1"/>
      </w:pPr>
      <w:r w:rsidRPr="00652E4B">
        <w:t>Conclusions</w:t>
      </w:r>
    </w:p>
    <w:p w:rsidR="00632417" w:rsidRPr="00652E4B" w:rsidRDefault="00816D4D" w:rsidP="000509D3">
      <w:pPr>
        <w:pStyle w:val="BodyText"/>
        <w:jc w:val="both"/>
        <w:rPr>
          <w:rFonts w:ascii="Times New Roman" w:hAnsi="Times New Roman" w:cs="Times New Roman"/>
        </w:rPr>
      </w:pPr>
      <w:r w:rsidRPr="00652E4B">
        <w:rPr>
          <w:rFonts w:ascii="Times New Roman" w:hAnsi="Times New Roman" w:cs="Times New Roman"/>
        </w:rPr>
        <w:t xml:space="preserve">For </w:t>
      </w:r>
      <w:r w:rsidR="00CC75F4" w:rsidRPr="00652E4B">
        <w:rPr>
          <w:rFonts w:ascii="Times New Roman" w:hAnsi="Times New Roman" w:cs="Times New Roman"/>
        </w:rPr>
        <w:t>EC-AGCH</w:t>
      </w:r>
      <w:r w:rsidR="00F06788" w:rsidRPr="00652E4B">
        <w:rPr>
          <w:rFonts w:ascii="Times New Roman" w:hAnsi="Times New Roman" w:cs="Times New Roman"/>
        </w:rPr>
        <w:t>, there is risk to satisfy the -6.3dB SNR requirement with the c</w:t>
      </w:r>
      <w:r w:rsidRPr="00652E4B">
        <w:rPr>
          <w:rFonts w:ascii="Times New Roman" w:hAnsi="Times New Roman" w:cs="Times New Roman"/>
        </w:rPr>
        <w:t>urrent 32</w:t>
      </w:r>
      <w:r w:rsidR="00AE398E" w:rsidRPr="00652E4B">
        <w:rPr>
          <w:rFonts w:ascii="Times New Roman" w:hAnsi="Times New Roman" w:cs="Times New Roman"/>
        </w:rPr>
        <w:t xml:space="preserve"> blind repetition</w:t>
      </w:r>
      <w:r w:rsidR="00F06788" w:rsidRPr="00652E4B">
        <w:rPr>
          <w:rFonts w:ascii="Times New Roman" w:hAnsi="Times New Roman" w:cs="Times New Roman"/>
        </w:rPr>
        <w:t>, and the link level simulation result shows it</w:t>
      </w:r>
      <w:r w:rsidR="00AE398E" w:rsidRPr="00652E4B">
        <w:rPr>
          <w:rFonts w:ascii="Times New Roman" w:hAnsi="Times New Roman" w:cs="Times New Roman"/>
        </w:rPr>
        <w:t xml:space="preserve"> is very sensitive to the residual fr</w:t>
      </w:r>
      <w:r w:rsidR="00753198" w:rsidRPr="00652E4B">
        <w:rPr>
          <w:rFonts w:ascii="Times New Roman" w:hAnsi="Times New Roman" w:cs="Times New Roman"/>
        </w:rPr>
        <w:t xml:space="preserve">equency offset, so it needs one ingenious </w:t>
      </w:r>
      <w:r w:rsidR="00F06788" w:rsidRPr="00652E4B">
        <w:rPr>
          <w:rFonts w:ascii="Times New Roman" w:hAnsi="Times New Roman" w:cs="Times New Roman"/>
        </w:rPr>
        <w:t xml:space="preserve">and </w:t>
      </w:r>
      <w:r w:rsidR="00753198" w:rsidRPr="00652E4B">
        <w:rPr>
          <w:rFonts w:ascii="Times New Roman" w:hAnsi="Times New Roman" w:cs="Times New Roman"/>
        </w:rPr>
        <w:t xml:space="preserve">possible complicated FOE algorithm. </w:t>
      </w:r>
      <w:r w:rsidR="00160FB1" w:rsidRPr="00652E4B">
        <w:rPr>
          <w:rFonts w:ascii="Times New Roman" w:hAnsi="Times New Roman" w:cs="Times New Roman"/>
        </w:rPr>
        <w:t>And the</w:t>
      </w:r>
      <w:r w:rsidR="00753198" w:rsidRPr="00652E4B">
        <w:rPr>
          <w:rFonts w:ascii="Times New Roman" w:hAnsi="Times New Roman" w:cs="Times New Roman"/>
        </w:rPr>
        <w:t xml:space="preserve"> </w:t>
      </w:r>
      <w:r w:rsidR="00F06788" w:rsidRPr="00652E4B">
        <w:rPr>
          <w:rFonts w:ascii="Times New Roman" w:hAnsi="Times New Roman" w:cs="Times New Roman"/>
        </w:rPr>
        <w:t xml:space="preserve">need </w:t>
      </w:r>
      <w:r w:rsidR="00160FB1" w:rsidRPr="00652E4B">
        <w:rPr>
          <w:rFonts w:ascii="Times New Roman" w:hAnsi="Times New Roman" w:cs="Times New Roman"/>
        </w:rPr>
        <w:t xml:space="preserve">to </w:t>
      </w:r>
      <w:r w:rsidR="00F06788" w:rsidRPr="00652E4B">
        <w:rPr>
          <w:rFonts w:ascii="Times New Roman" w:hAnsi="Times New Roman" w:cs="Times New Roman"/>
        </w:rPr>
        <w:t>compensate the frequency offset before t</w:t>
      </w:r>
      <w:r w:rsidR="00160FB1" w:rsidRPr="00652E4B">
        <w:rPr>
          <w:rFonts w:ascii="Times New Roman" w:hAnsi="Times New Roman" w:cs="Times New Roman"/>
        </w:rPr>
        <w:t>he equalizer lead to high data</w:t>
      </w:r>
      <w:r w:rsidR="00753198" w:rsidRPr="00652E4B">
        <w:rPr>
          <w:rFonts w:ascii="Times New Roman" w:hAnsi="Times New Roman" w:cs="Times New Roman"/>
        </w:rPr>
        <w:t xml:space="preserve"> memory cost</w:t>
      </w:r>
      <w:r w:rsidR="00160FB1" w:rsidRPr="00652E4B">
        <w:rPr>
          <w:rFonts w:ascii="Times New Roman" w:hAnsi="Times New Roman" w:cs="Times New Roman"/>
        </w:rPr>
        <w:t>, which is disadvantageous to a low cost and complexity implementation</w:t>
      </w:r>
      <w:r w:rsidR="00632417" w:rsidRPr="00652E4B">
        <w:rPr>
          <w:rFonts w:ascii="Times New Roman" w:hAnsi="Times New Roman" w:cs="Times New Roman"/>
        </w:rPr>
        <w:t>.</w:t>
      </w:r>
      <w:r w:rsidR="00F06788" w:rsidRPr="00652E4B">
        <w:rPr>
          <w:rFonts w:ascii="Times New Roman" w:hAnsi="Times New Roman" w:cs="Times New Roman"/>
        </w:rPr>
        <w:t xml:space="preserve"> </w:t>
      </w:r>
    </w:p>
    <w:p w:rsidR="00BE76AC" w:rsidRPr="00652E4B" w:rsidRDefault="00700AA9" w:rsidP="000509D3">
      <w:pPr>
        <w:pStyle w:val="BodyText"/>
        <w:jc w:val="both"/>
        <w:rPr>
          <w:rFonts w:ascii="Times New Roman" w:hAnsi="Times New Roman" w:cs="Times New Roman"/>
        </w:rPr>
      </w:pPr>
      <w:r w:rsidRPr="00652E4B">
        <w:rPr>
          <w:rFonts w:ascii="Times New Roman" w:hAnsi="Times New Roman" w:cs="Times New Roman"/>
        </w:rPr>
        <w:t>One proposal is given to use</w:t>
      </w:r>
      <w:r w:rsidR="00BE76AC" w:rsidRPr="00652E4B">
        <w:rPr>
          <w:rFonts w:ascii="Times New Roman" w:hAnsi="Times New Roman" w:cs="Times New Roman"/>
        </w:rPr>
        <w:t xml:space="preserve"> blind repetition in one TDMA frame</w:t>
      </w:r>
      <w:r w:rsidR="0061312F" w:rsidRPr="00652E4B">
        <w:rPr>
          <w:rFonts w:ascii="Times New Roman" w:hAnsi="Times New Roman" w:cs="Times New Roman"/>
        </w:rPr>
        <w:t>, which</w:t>
      </w:r>
      <w:r w:rsidR="00BE76AC" w:rsidRPr="00652E4B">
        <w:rPr>
          <w:rFonts w:ascii="Times New Roman" w:hAnsi="Times New Roman" w:cs="Times New Roman"/>
        </w:rPr>
        <w:t xml:space="preserve"> can </w:t>
      </w:r>
      <w:r w:rsidR="007E0F81" w:rsidRPr="00652E4B">
        <w:rPr>
          <w:rFonts w:ascii="Times New Roman" w:hAnsi="Times New Roman" w:cs="Times New Roman"/>
        </w:rPr>
        <w:t>remove</w:t>
      </w:r>
      <w:r w:rsidR="00BE76AC" w:rsidRPr="00652E4B">
        <w:rPr>
          <w:rFonts w:ascii="Times New Roman" w:hAnsi="Times New Roman" w:cs="Times New Roman"/>
        </w:rPr>
        <w:t xml:space="preserve"> the high sensitivity to the frequency offset.</w:t>
      </w:r>
      <w:r w:rsidR="00453E86" w:rsidRPr="00652E4B">
        <w:rPr>
          <w:rFonts w:ascii="Times New Roman" w:hAnsi="Times New Roman" w:cs="Times New Roman"/>
        </w:rPr>
        <w:t xml:space="preserve"> And this method also benefits the power consumption reduction.</w:t>
      </w:r>
    </w:p>
    <w:p w:rsidR="008317F7" w:rsidRPr="00652E4B" w:rsidRDefault="008317F7" w:rsidP="00652E4B">
      <w:pPr>
        <w:pStyle w:val="Heading1"/>
      </w:pPr>
      <w:r w:rsidRPr="00652E4B">
        <w:t>References</w:t>
      </w:r>
    </w:p>
    <w:bookmarkStart w:id="3" w:name="_Ref397674406"/>
    <w:p w:rsidR="008317F7" w:rsidRPr="00652E4B" w:rsidRDefault="008317F7" w:rsidP="0004366B">
      <w:pPr>
        <w:pStyle w:val="Reference"/>
        <w:ind w:left="0" w:firstLine="0"/>
        <w:rPr>
          <w:rFonts w:ascii="Times New Roman" w:hAnsi="Times New Roman" w:cs="Times New Roman"/>
        </w:rPr>
      </w:pPr>
      <w:r w:rsidRPr="00652E4B">
        <w:rPr>
          <w:rFonts w:ascii="Times New Roman" w:hAnsi="Times New Roman" w:cs="Times New Roman"/>
        </w:rPr>
        <w:fldChar w:fldCharType="begin"/>
      </w:r>
      <w:r w:rsidRPr="00652E4B">
        <w:rPr>
          <w:rFonts w:ascii="Times New Roman" w:hAnsi="Times New Roman" w:cs="Times New Roman"/>
        </w:rPr>
        <w:instrText xml:space="preserve"> HYPERLINK "ftp://www.3gpp.org/tsg_geran/TSG_GERAN/GERAN_62_Valencia/Docs/GP-140421.zip" </w:instrText>
      </w:r>
      <w:r w:rsidRPr="00652E4B">
        <w:rPr>
          <w:rFonts w:ascii="Times New Roman" w:hAnsi="Times New Roman" w:cs="Times New Roman"/>
        </w:rPr>
        <w:fldChar w:fldCharType="separate"/>
      </w:r>
      <w:r w:rsidRPr="00652E4B">
        <w:rPr>
          <w:rStyle w:val="Hyperlink"/>
          <w:rFonts w:ascii="Times New Roman" w:hAnsi="Times New Roman" w:cs="Times New Roman"/>
        </w:rPr>
        <w:t>GP-140421</w:t>
      </w:r>
      <w:r w:rsidRPr="00652E4B">
        <w:rPr>
          <w:rFonts w:ascii="Times New Roman" w:hAnsi="Times New Roman" w:cs="Times New Roman"/>
        </w:rPr>
        <w:fldChar w:fldCharType="end"/>
      </w:r>
      <w:r w:rsidRPr="00652E4B">
        <w:rPr>
          <w:rFonts w:ascii="Times New Roman" w:hAnsi="Times New Roman" w:cs="Times New Roman"/>
        </w:rPr>
        <w:t>, “New Study Item on Cellular System Support for Ultra Low Complexity and Low Throughput Internet of Things (</w:t>
      </w:r>
      <w:proofErr w:type="spellStart"/>
      <w:r w:rsidRPr="00652E4B">
        <w:rPr>
          <w:rFonts w:ascii="Times New Roman" w:hAnsi="Times New Roman" w:cs="Times New Roman"/>
        </w:rPr>
        <w:t>FS_IoT_LC</w:t>
      </w:r>
      <w:proofErr w:type="spellEnd"/>
      <w:r w:rsidRPr="00652E4B">
        <w:rPr>
          <w:rFonts w:ascii="Times New Roman" w:hAnsi="Times New Roman" w:cs="Times New Roman"/>
        </w:rPr>
        <w:t>) (revision of GP-140418)”, source VODAFONE Group Plc. GERAN#62</w:t>
      </w:r>
      <w:bookmarkEnd w:id="3"/>
      <w:r w:rsidRPr="00652E4B">
        <w:rPr>
          <w:rFonts w:ascii="Times New Roman" w:hAnsi="Times New Roman" w:cs="Times New Roman"/>
        </w:rPr>
        <w:t>.</w:t>
      </w:r>
    </w:p>
    <w:bookmarkStart w:id="4" w:name="_Ref409863848"/>
    <w:p w:rsidR="008317F7" w:rsidRPr="00652E4B" w:rsidRDefault="008317F7" w:rsidP="0004366B">
      <w:pPr>
        <w:pStyle w:val="Reference"/>
        <w:ind w:left="0" w:firstLine="0"/>
        <w:rPr>
          <w:rFonts w:ascii="Times New Roman" w:hAnsi="Times New Roman" w:cs="Times New Roman"/>
        </w:rPr>
      </w:pPr>
      <w:r w:rsidRPr="00652E4B">
        <w:rPr>
          <w:rFonts w:ascii="Times New Roman" w:hAnsi="Times New Roman" w:cs="Times New Roman"/>
        </w:rPr>
        <w:lastRenderedPageBreak/>
        <w:fldChar w:fldCharType="begin"/>
      </w:r>
      <w:r w:rsidRPr="00652E4B">
        <w:rPr>
          <w:rFonts w:ascii="Times New Roman" w:hAnsi="Times New Roman" w:cs="Times New Roman"/>
        </w:rPr>
        <w:instrText xml:space="preserve"> HYPERLINK "ftp://www.3gpp.org/tsg_geran/TSG_GERAN/GERAN_64_San_Francisco/Docs/GP-140882.zip" </w:instrText>
      </w:r>
      <w:r w:rsidRPr="00652E4B">
        <w:rPr>
          <w:rFonts w:ascii="Times New Roman" w:hAnsi="Times New Roman" w:cs="Times New Roman"/>
        </w:rPr>
        <w:fldChar w:fldCharType="separate"/>
      </w:r>
      <w:r w:rsidRPr="00652E4B">
        <w:rPr>
          <w:rStyle w:val="Hyperlink"/>
          <w:rFonts w:ascii="Times New Roman" w:hAnsi="Times New Roman" w:cs="Times New Roman"/>
        </w:rPr>
        <w:t>GP-140882</w:t>
      </w:r>
      <w:r w:rsidRPr="00652E4B">
        <w:rPr>
          <w:rFonts w:ascii="Times New Roman" w:hAnsi="Times New Roman" w:cs="Times New Roman"/>
        </w:rPr>
        <w:fldChar w:fldCharType="end"/>
      </w:r>
      <w:r w:rsidRPr="00652E4B">
        <w:rPr>
          <w:rFonts w:ascii="Times New Roman" w:hAnsi="Times New Roman" w:cs="Times New Roman"/>
        </w:rPr>
        <w:t xml:space="preserve">, “GSM Evolution for cellular </w:t>
      </w:r>
      <w:proofErr w:type="spellStart"/>
      <w:r w:rsidRPr="00652E4B">
        <w:rPr>
          <w:rFonts w:ascii="Times New Roman" w:hAnsi="Times New Roman" w:cs="Times New Roman"/>
        </w:rPr>
        <w:t>IoT</w:t>
      </w:r>
      <w:proofErr w:type="spellEnd"/>
      <w:r w:rsidRPr="00652E4B">
        <w:rPr>
          <w:rFonts w:ascii="Times New Roman" w:hAnsi="Times New Roman" w:cs="Times New Roman"/>
        </w:rPr>
        <w:t xml:space="preserve"> – On using blind repetitions”, source Ericsson</w:t>
      </w:r>
      <w:r w:rsidR="006242C3" w:rsidRPr="00652E4B">
        <w:rPr>
          <w:rFonts w:ascii="Times New Roman" w:hAnsi="Times New Roman" w:cs="Times New Roman"/>
        </w:rPr>
        <w:t xml:space="preserve"> LM</w:t>
      </w:r>
      <w:r w:rsidRPr="00652E4B">
        <w:rPr>
          <w:rFonts w:ascii="Times New Roman" w:hAnsi="Times New Roman" w:cs="Times New Roman"/>
        </w:rPr>
        <w:t>. GERAN#64.</w:t>
      </w:r>
      <w:bookmarkEnd w:id="4"/>
    </w:p>
    <w:p w:rsidR="009852A5" w:rsidRPr="00652E4B" w:rsidRDefault="00FB23FC" w:rsidP="009852A5">
      <w:pPr>
        <w:pStyle w:val="Reference"/>
        <w:rPr>
          <w:rFonts w:ascii="Times New Roman" w:hAnsi="Times New Roman" w:cs="Times New Roman"/>
        </w:rPr>
      </w:pPr>
      <w:hyperlink r:id="rId14" w:history="1">
        <w:r w:rsidR="009852A5" w:rsidRPr="00652E4B">
          <w:rPr>
            <w:rStyle w:val="Hyperlink"/>
            <w:rFonts w:ascii="Times New Roman" w:hAnsi="Times New Roman" w:cs="Times New Roman"/>
          </w:rPr>
          <w:t>GP-150317</w:t>
        </w:r>
      </w:hyperlink>
      <w:r w:rsidR="009852A5" w:rsidRPr="00652E4B">
        <w:rPr>
          <w:rFonts w:ascii="Times New Roman" w:hAnsi="Times New Roman" w:cs="Times New Roman"/>
        </w:rPr>
        <w:t>, “3GPP TR 45.820 V1.0.0 (2015-03)”</w:t>
      </w:r>
    </w:p>
    <w:sectPr w:rsidR="009852A5" w:rsidRPr="00652E4B" w:rsidSect="007F0985">
      <w:headerReference w:type="default" r:id="rId15"/>
      <w:footerReference w:type="default" r:id="rId16"/>
      <w:headerReference w:type="first" r:id="rId17"/>
      <w:footerReference w:type="first" r:id="rId18"/>
      <w:pgSz w:w="11906" w:h="16838"/>
      <w:pgMar w:top="1440" w:right="1466"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3FC" w:rsidRDefault="00FB23FC">
      <w:r>
        <w:separator/>
      </w:r>
    </w:p>
  </w:endnote>
  <w:endnote w:type="continuationSeparator" w:id="0">
    <w:p w:rsidR="00FB23FC" w:rsidRDefault="00FB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SimSun">
    <w:altName w:val="Arial Unicode MS"/>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E248A">
      <w:rPr>
        <w:rStyle w:val="PageNumber"/>
        <w:noProof/>
      </w:rPr>
      <w:t>5</w:t>
    </w:r>
    <w:r>
      <w:rPr>
        <w:rStyle w:val="PageNumber"/>
      </w:rPr>
      <w:fldChar w:fldCharType="end"/>
    </w:r>
    <w:bookmarkStart w:id="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48A">
      <w:rPr>
        <w:rStyle w:val="PageNumber"/>
        <w:noProof/>
      </w:rPr>
      <w:t>6</w:t>
    </w:r>
    <w:r>
      <w:rPr>
        <w:rStyle w:val="PageNumber"/>
      </w:rPr>
      <w:fldChar w:fldCharType="end"/>
    </w:r>
    <w:r>
      <w:rPr>
        <w:rStyle w:val="PageNumber"/>
      </w:rPr>
      <w:t>)</w:t>
    </w:r>
    <w:bookmarkEnd w:id="5"/>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5E248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48A">
      <w:rPr>
        <w:rStyle w:val="PageNumber"/>
        <w:noProof/>
      </w:rPr>
      <w:t>6</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3FC" w:rsidRDefault="00FB23FC">
      <w:r>
        <w:separator/>
      </w:r>
    </w:p>
  </w:footnote>
  <w:footnote w:type="continuationSeparator" w:id="0">
    <w:p w:rsidR="00FB23FC" w:rsidRDefault="00FB2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9DA" w:rsidRDefault="00BB39DA" w:rsidP="00BB39DA">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080632">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150408</w:t>
    </w:r>
  </w:p>
  <w:p w:rsidR="00BB39DA" w:rsidRPr="0091399E" w:rsidRDefault="001C2CE8" w:rsidP="00BB39DA">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sidR="00BB39DA">
      <w:rPr>
        <w:rFonts w:ascii="Arial" w:eastAsia="Arial Unicode MS" w:hAnsi="Arial" w:cs="Arial"/>
        <w:snapToGrid w:val="0"/>
        <w:lang w:val="sv-SE" w:eastAsia="zh-CN"/>
      </w:rPr>
      <w:tab/>
    </w:r>
    <w:r w:rsidR="00080632">
      <w:rPr>
        <w:rFonts w:ascii="Arial" w:eastAsia="Arial Unicode MS" w:hAnsi="Arial" w:cs="Arial"/>
        <w:snapToGrid w:val="0"/>
        <w:lang w:val="sv-SE" w:eastAsia="zh-CN"/>
      </w:rPr>
      <w:t xml:space="preserve">         </w:t>
    </w:r>
    <w:r w:rsidR="00BB39DA">
      <w:rPr>
        <w:rFonts w:ascii="Arial" w:eastAsia="Arial Unicode MS" w:hAnsi="Arial" w:cs="Arial"/>
        <w:snapToGrid w:val="0"/>
        <w:lang w:val="sv-SE" w:eastAsia="zh-CN"/>
      </w:rPr>
      <w:t xml:space="preserve">Agenda item </w:t>
    </w:r>
    <w:r w:rsidR="00BB39DA" w:rsidRPr="00935662">
      <w:rPr>
        <w:rFonts w:ascii="Arial" w:eastAsia="Arial Unicode MS" w:hAnsi="Arial" w:cs="Arial"/>
        <w:snapToGrid w:val="0"/>
        <w:lang w:val="sv-SE" w:eastAsia="zh-CN"/>
      </w:rPr>
      <w:t>7.1.5.3.5</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089F" w:rsidRDefault="007D0271" w:rsidP="00EA15AE">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 xml:space="preserve">3GPP TSG </w:t>
    </w:r>
    <w:r w:rsidRPr="0091399E">
      <w:rPr>
        <w:rFonts w:ascii="Arial" w:eastAsia="Arial Unicode MS" w:hAnsi="Arial" w:cs="Arial"/>
        <w:snapToGrid w:val="0"/>
        <w:lang w:val="sv-SE" w:eastAsia="zh-CN"/>
      </w:rPr>
      <w:t>GERAN</w:t>
    </w:r>
    <w:r w:rsidR="00E735A8">
      <w:rPr>
        <w:rFonts w:ascii="Arial" w:eastAsia="Arial Unicode MS" w:hAnsi="Arial" w:cs="Arial"/>
        <w:snapToGrid w:val="0"/>
        <w:lang w:val="sv-SE" w:eastAsia="zh-CN"/>
      </w:rPr>
      <w:t xml:space="preserve"> Meeting #66</w:t>
    </w:r>
    <w:r w:rsidR="0052089F">
      <w:rPr>
        <w:rFonts w:ascii="Arial" w:eastAsia="Arial Unicode MS" w:hAnsi="Arial" w:cs="Arial" w:hint="eastAsia"/>
        <w:snapToGrid w:val="0"/>
        <w:lang w:val="sv-SE" w:eastAsia="zh-CN"/>
      </w:rPr>
      <w:t xml:space="preserve"> </w:t>
    </w:r>
    <w:r w:rsidR="00935662">
      <w:rPr>
        <w:rFonts w:ascii="Arial" w:eastAsia="Arial Unicode MS" w:hAnsi="Arial" w:cs="Arial"/>
        <w:snapToGrid w:val="0"/>
        <w:lang w:val="sv-SE" w:eastAsia="zh-CN"/>
      </w:rPr>
      <w:t xml:space="preserve">                                        </w:t>
    </w:r>
    <w:r w:rsidR="00E735A8">
      <w:rPr>
        <w:rFonts w:ascii="Arial" w:eastAsia="Arial Unicode MS" w:hAnsi="Arial" w:cs="Arial"/>
        <w:snapToGrid w:val="0"/>
        <w:lang w:val="sv-SE" w:eastAsia="zh-CN"/>
      </w:rPr>
      <w:t xml:space="preserve">   </w:t>
    </w:r>
    <w:r w:rsidR="007F0985">
      <w:rPr>
        <w:rFonts w:ascii="Arial" w:eastAsia="Arial Unicode MS" w:hAnsi="Arial" w:cs="Arial"/>
        <w:snapToGrid w:val="0"/>
        <w:lang w:val="sv-SE" w:eastAsia="zh-CN"/>
      </w:rPr>
      <w:t xml:space="preserve">         </w:t>
    </w:r>
    <w:r w:rsidR="00935662">
      <w:rPr>
        <w:rFonts w:ascii="Arial" w:eastAsia="Arial Unicode MS" w:hAnsi="Arial" w:cs="Arial"/>
        <w:snapToGrid w:val="0"/>
        <w:lang w:val="sv-SE" w:eastAsia="zh-CN"/>
      </w:rPr>
      <w:t>GP</w:t>
    </w:r>
    <w:r w:rsidR="00935662">
      <w:rPr>
        <w:rFonts w:ascii="Arial" w:eastAsia="Arial Unicode MS" w:hAnsi="Arial" w:cs="Arial" w:hint="eastAsia"/>
        <w:snapToGrid w:val="0"/>
        <w:lang w:val="sv-SE" w:eastAsia="zh-CN"/>
      </w:rPr>
      <w:t>-</w:t>
    </w:r>
    <w:r w:rsidR="002E2321">
      <w:rPr>
        <w:rFonts w:ascii="Arial" w:eastAsia="Arial Unicode MS" w:hAnsi="Arial" w:cs="Arial"/>
        <w:snapToGrid w:val="0"/>
        <w:lang w:val="sv-SE" w:eastAsia="zh-CN"/>
      </w:rPr>
      <w:t>150408</w:t>
    </w:r>
  </w:p>
  <w:p w:rsidR="007D0271" w:rsidRPr="0091399E" w:rsidRDefault="007D0271" w:rsidP="00EA15AE">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sidR="000E67E1">
      <w:rPr>
        <w:rFonts w:ascii="Arial" w:eastAsia="Arial Unicode MS" w:hAnsi="Arial" w:cs="Arial"/>
        <w:snapToGrid w:val="0"/>
        <w:lang w:val="sv-SE" w:eastAsia="zh-CN"/>
      </w:rPr>
      <w:t xml:space="preserve">                                </w:t>
    </w:r>
    <w:r w:rsidR="00EA15AE">
      <w:rPr>
        <w:rFonts w:ascii="Arial" w:eastAsia="Arial Unicode MS" w:hAnsi="Arial" w:cs="Arial"/>
        <w:snapToGrid w:val="0"/>
        <w:lang w:val="sv-SE" w:eastAsia="zh-CN"/>
      </w:rPr>
      <w:tab/>
    </w:r>
    <w:r w:rsidR="007F0985">
      <w:rPr>
        <w:rFonts w:ascii="Arial" w:eastAsia="Arial Unicode MS" w:hAnsi="Arial" w:cs="Arial"/>
        <w:snapToGrid w:val="0"/>
        <w:lang w:val="sv-SE" w:eastAsia="zh-CN"/>
      </w:rPr>
      <w:t xml:space="preserve">         </w:t>
    </w:r>
    <w:r w:rsidR="000E67E1">
      <w:rPr>
        <w:rFonts w:ascii="Arial" w:eastAsia="Arial Unicode MS" w:hAnsi="Arial" w:cs="Arial"/>
        <w:snapToGrid w:val="0"/>
        <w:lang w:val="sv-SE" w:eastAsia="zh-CN"/>
      </w:rPr>
      <w:t xml:space="preserve">Agenda item </w:t>
    </w:r>
    <w:r w:rsidR="00935662" w:rsidRPr="00935662">
      <w:rPr>
        <w:rFonts w:ascii="Arial" w:eastAsia="Arial Unicode MS" w:hAnsi="Arial" w:cs="Arial"/>
        <w:snapToGrid w:val="0"/>
        <w:lang w:val="sv-SE" w:eastAsia="zh-CN"/>
      </w:rPr>
      <w:t>7.1.5.3.5</w:t>
    </w:r>
  </w:p>
  <w:p w:rsidR="007D0271" w:rsidRPr="0091399E" w:rsidRDefault="007D0271" w:rsidP="00EA15AE">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sidR="0052089F">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sidR="0052089F">
      <w:rPr>
        <w:rFonts w:ascii="Arial" w:eastAsia="Arial Unicode MS" w:hAnsi="Arial" w:cs="Arial"/>
        <w:snapToGrid w:val="0"/>
        <w:lang w:val="sv-SE" w:eastAsia="zh-CN"/>
      </w:rPr>
      <w:t>–</w:t>
    </w:r>
    <w:r w:rsidR="00D43801">
      <w:rPr>
        <w:rFonts w:ascii="Arial" w:eastAsia="Arial Unicode MS" w:hAnsi="Arial" w:cs="Arial"/>
        <w:snapToGrid w:val="0"/>
        <w:lang w:val="sv-SE" w:eastAsia="zh-CN"/>
      </w:rPr>
      <w:t xml:space="preserve"> 29</w:t>
    </w:r>
    <w:r w:rsidR="0052089F">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May 2015</w:t>
    </w:r>
    <w:bookmarkStart w:id="6" w:name="_Ref515183447"/>
    <w:bookmarkEnd w:id="6"/>
  </w:p>
  <w:p w:rsidR="001200D6" w:rsidRDefault="00935662" w:rsidP="00EA15AE">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w:t>
    </w:r>
    <w:r w:rsidR="0052089F">
      <w:rPr>
        <w:rFonts w:ascii="Arial" w:eastAsia="Arial Unicode MS" w:hAnsi="Arial" w:cs="Arial"/>
        <w:snapToGrid w:val="0"/>
        <w:lang w:val="sv-SE" w:eastAsia="zh-CN"/>
      </w:rPr>
      <w:t xml:space="preserve"> Corporation</w:t>
    </w:r>
  </w:p>
  <w:p w:rsidR="0052089F" w:rsidRPr="007D0271" w:rsidRDefault="0052089F" w:rsidP="00EA15AE">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AD131F"/>
    <w:multiLevelType w:val="multilevel"/>
    <w:tmpl w:val="D8D63A6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0"/>
  </w:num>
  <w:num w:numId="9">
    <w:abstractNumId w:val="13"/>
  </w:num>
  <w:num w:numId="10">
    <w:abstractNumId w:val="15"/>
  </w:num>
  <w:num w:numId="11">
    <w:abstractNumId w:val="9"/>
  </w:num>
  <w:num w:numId="12">
    <w:abstractNumId w:val="8"/>
  </w:num>
  <w:num w:numId="13">
    <w:abstractNumId w:val="0"/>
  </w:num>
  <w:num w:numId="14">
    <w:abstractNumId w:val="16"/>
  </w:num>
  <w:num w:numId="15">
    <w:abstractNumId w:val="14"/>
  </w:num>
  <w:num w:numId="16">
    <w:abstractNumId w:val="6"/>
  </w:num>
  <w:num w:numId="17">
    <w:abstractNumId w:val="11"/>
  </w:num>
  <w:num w:numId="1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3D56"/>
    <w:rsid w:val="00004093"/>
    <w:rsid w:val="00005E4C"/>
    <w:rsid w:val="00006668"/>
    <w:rsid w:val="0000723E"/>
    <w:rsid w:val="00007639"/>
    <w:rsid w:val="00007A29"/>
    <w:rsid w:val="00007E3C"/>
    <w:rsid w:val="00007FB7"/>
    <w:rsid w:val="00010AB5"/>
    <w:rsid w:val="0001175D"/>
    <w:rsid w:val="00011DEE"/>
    <w:rsid w:val="00012730"/>
    <w:rsid w:val="0001283C"/>
    <w:rsid w:val="00013054"/>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3A2"/>
    <w:rsid w:val="00026F40"/>
    <w:rsid w:val="0002751E"/>
    <w:rsid w:val="00032747"/>
    <w:rsid w:val="00032918"/>
    <w:rsid w:val="00036EE4"/>
    <w:rsid w:val="00036FBD"/>
    <w:rsid w:val="0004021D"/>
    <w:rsid w:val="000410A7"/>
    <w:rsid w:val="000432B9"/>
    <w:rsid w:val="0004366B"/>
    <w:rsid w:val="000476F1"/>
    <w:rsid w:val="000509D3"/>
    <w:rsid w:val="00051509"/>
    <w:rsid w:val="0005267D"/>
    <w:rsid w:val="000558BC"/>
    <w:rsid w:val="00055A72"/>
    <w:rsid w:val="000561FD"/>
    <w:rsid w:val="0005639E"/>
    <w:rsid w:val="000568B3"/>
    <w:rsid w:val="00056921"/>
    <w:rsid w:val="00056D4F"/>
    <w:rsid w:val="00057B8E"/>
    <w:rsid w:val="00057CF3"/>
    <w:rsid w:val="00060517"/>
    <w:rsid w:val="000615F3"/>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0632"/>
    <w:rsid w:val="00081D0E"/>
    <w:rsid w:val="00082CF2"/>
    <w:rsid w:val="00084072"/>
    <w:rsid w:val="00084917"/>
    <w:rsid w:val="00085282"/>
    <w:rsid w:val="00085559"/>
    <w:rsid w:val="00085B0D"/>
    <w:rsid w:val="00085F02"/>
    <w:rsid w:val="0008658A"/>
    <w:rsid w:val="000865DB"/>
    <w:rsid w:val="00087258"/>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B75CE"/>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257E"/>
    <w:rsid w:val="000E4DE7"/>
    <w:rsid w:val="000E52B9"/>
    <w:rsid w:val="000E67E1"/>
    <w:rsid w:val="000E7150"/>
    <w:rsid w:val="000E7410"/>
    <w:rsid w:val="000E7B3A"/>
    <w:rsid w:val="000F01EE"/>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FB1"/>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177"/>
    <w:rsid w:val="00175A90"/>
    <w:rsid w:val="00176DD7"/>
    <w:rsid w:val="00177B39"/>
    <w:rsid w:val="00181381"/>
    <w:rsid w:val="00182EA3"/>
    <w:rsid w:val="001841E7"/>
    <w:rsid w:val="0018433D"/>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A7672"/>
    <w:rsid w:val="001B033B"/>
    <w:rsid w:val="001B11C2"/>
    <w:rsid w:val="001B1402"/>
    <w:rsid w:val="001B17B1"/>
    <w:rsid w:val="001B1A12"/>
    <w:rsid w:val="001B4E2B"/>
    <w:rsid w:val="001B68ED"/>
    <w:rsid w:val="001C03F9"/>
    <w:rsid w:val="001C0F49"/>
    <w:rsid w:val="001C2CE8"/>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330A"/>
    <w:rsid w:val="001E4193"/>
    <w:rsid w:val="001E50C4"/>
    <w:rsid w:val="001E5858"/>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1DCC"/>
    <w:rsid w:val="00212200"/>
    <w:rsid w:val="00214891"/>
    <w:rsid w:val="00216391"/>
    <w:rsid w:val="002163DA"/>
    <w:rsid w:val="002175C4"/>
    <w:rsid w:val="00217C4A"/>
    <w:rsid w:val="00220D2A"/>
    <w:rsid w:val="00220DE0"/>
    <w:rsid w:val="00223B6C"/>
    <w:rsid w:val="00223BEE"/>
    <w:rsid w:val="00223DD7"/>
    <w:rsid w:val="0022497A"/>
    <w:rsid w:val="00225DB2"/>
    <w:rsid w:val="002301B3"/>
    <w:rsid w:val="0023073F"/>
    <w:rsid w:val="00231EC7"/>
    <w:rsid w:val="00232177"/>
    <w:rsid w:val="002325D0"/>
    <w:rsid w:val="00233DA4"/>
    <w:rsid w:val="0023434D"/>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2DDF"/>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C0170"/>
    <w:rsid w:val="002C01FD"/>
    <w:rsid w:val="002C0369"/>
    <w:rsid w:val="002C168B"/>
    <w:rsid w:val="002C20B2"/>
    <w:rsid w:val="002C3AC9"/>
    <w:rsid w:val="002C4D10"/>
    <w:rsid w:val="002C631C"/>
    <w:rsid w:val="002C6CB3"/>
    <w:rsid w:val="002C6E37"/>
    <w:rsid w:val="002C790C"/>
    <w:rsid w:val="002C7B47"/>
    <w:rsid w:val="002D0D9A"/>
    <w:rsid w:val="002D19D8"/>
    <w:rsid w:val="002D1A08"/>
    <w:rsid w:val="002D2269"/>
    <w:rsid w:val="002D28DA"/>
    <w:rsid w:val="002D32A3"/>
    <w:rsid w:val="002D36D3"/>
    <w:rsid w:val="002D4822"/>
    <w:rsid w:val="002D4A3A"/>
    <w:rsid w:val="002D4FA5"/>
    <w:rsid w:val="002D5050"/>
    <w:rsid w:val="002D5B56"/>
    <w:rsid w:val="002D6EAA"/>
    <w:rsid w:val="002D70C6"/>
    <w:rsid w:val="002D784B"/>
    <w:rsid w:val="002E2199"/>
    <w:rsid w:val="002E2321"/>
    <w:rsid w:val="002E253A"/>
    <w:rsid w:val="002E43B2"/>
    <w:rsid w:val="002E4DD7"/>
    <w:rsid w:val="002E6E59"/>
    <w:rsid w:val="002F0AD0"/>
    <w:rsid w:val="002F0B58"/>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433B"/>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5C96"/>
    <w:rsid w:val="003468BC"/>
    <w:rsid w:val="00346C12"/>
    <w:rsid w:val="003500A7"/>
    <w:rsid w:val="00351194"/>
    <w:rsid w:val="00351BAD"/>
    <w:rsid w:val="00353745"/>
    <w:rsid w:val="003549E9"/>
    <w:rsid w:val="0035554D"/>
    <w:rsid w:val="00356ED2"/>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2CB"/>
    <w:rsid w:val="00384A5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607A"/>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395F"/>
    <w:rsid w:val="004453BC"/>
    <w:rsid w:val="00445B6A"/>
    <w:rsid w:val="00445B71"/>
    <w:rsid w:val="004460C6"/>
    <w:rsid w:val="00446697"/>
    <w:rsid w:val="00450590"/>
    <w:rsid w:val="004507B0"/>
    <w:rsid w:val="00452147"/>
    <w:rsid w:val="0045255E"/>
    <w:rsid w:val="004527ED"/>
    <w:rsid w:val="00452BC4"/>
    <w:rsid w:val="0045396F"/>
    <w:rsid w:val="00453A9A"/>
    <w:rsid w:val="00453E86"/>
    <w:rsid w:val="00453FD2"/>
    <w:rsid w:val="004542FD"/>
    <w:rsid w:val="00454B41"/>
    <w:rsid w:val="00456014"/>
    <w:rsid w:val="004563F7"/>
    <w:rsid w:val="00457ADA"/>
    <w:rsid w:val="004600B0"/>
    <w:rsid w:val="0046074E"/>
    <w:rsid w:val="00462CD5"/>
    <w:rsid w:val="00464B47"/>
    <w:rsid w:val="00464ED4"/>
    <w:rsid w:val="00465EC1"/>
    <w:rsid w:val="00466484"/>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5194"/>
    <w:rsid w:val="00496582"/>
    <w:rsid w:val="0049716D"/>
    <w:rsid w:val="00497742"/>
    <w:rsid w:val="004A02F8"/>
    <w:rsid w:val="004A0625"/>
    <w:rsid w:val="004A33A4"/>
    <w:rsid w:val="004A39A9"/>
    <w:rsid w:val="004A53E3"/>
    <w:rsid w:val="004A58A2"/>
    <w:rsid w:val="004A60E2"/>
    <w:rsid w:val="004A69C8"/>
    <w:rsid w:val="004A7004"/>
    <w:rsid w:val="004B1554"/>
    <w:rsid w:val="004B164D"/>
    <w:rsid w:val="004B3F1A"/>
    <w:rsid w:val="004B40DB"/>
    <w:rsid w:val="004B4802"/>
    <w:rsid w:val="004B560E"/>
    <w:rsid w:val="004B6C8B"/>
    <w:rsid w:val="004B7181"/>
    <w:rsid w:val="004C2091"/>
    <w:rsid w:val="004C21E4"/>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0A0"/>
    <w:rsid w:val="00507936"/>
    <w:rsid w:val="00512D68"/>
    <w:rsid w:val="0051442B"/>
    <w:rsid w:val="00514990"/>
    <w:rsid w:val="005150AE"/>
    <w:rsid w:val="00515139"/>
    <w:rsid w:val="0051592F"/>
    <w:rsid w:val="005159BF"/>
    <w:rsid w:val="00515EF6"/>
    <w:rsid w:val="005164C6"/>
    <w:rsid w:val="00516C54"/>
    <w:rsid w:val="00517EE8"/>
    <w:rsid w:val="0052089F"/>
    <w:rsid w:val="00522448"/>
    <w:rsid w:val="0052248A"/>
    <w:rsid w:val="00522749"/>
    <w:rsid w:val="00522F17"/>
    <w:rsid w:val="00523AEF"/>
    <w:rsid w:val="00525053"/>
    <w:rsid w:val="00525645"/>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48A"/>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068F"/>
    <w:rsid w:val="0061108A"/>
    <w:rsid w:val="006113FC"/>
    <w:rsid w:val="006119A3"/>
    <w:rsid w:val="00612DC1"/>
    <w:rsid w:val="0061312F"/>
    <w:rsid w:val="00613F82"/>
    <w:rsid w:val="00614212"/>
    <w:rsid w:val="00614EE1"/>
    <w:rsid w:val="006150AD"/>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72"/>
    <w:rsid w:val="0063241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2E4B"/>
    <w:rsid w:val="00653594"/>
    <w:rsid w:val="006535FB"/>
    <w:rsid w:val="0065500D"/>
    <w:rsid w:val="00655838"/>
    <w:rsid w:val="00657091"/>
    <w:rsid w:val="006573AA"/>
    <w:rsid w:val="006620A5"/>
    <w:rsid w:val="00662462"/>
    <w:rsid w:val="00662A40"/>
    <w:rsid w:val="00663EFE"/>
    <w:rsid w:val="00664B71"/>
    <w:rsid w:val="00664EB5"/>
    <w:rsid w:val="006653EB"/>
    <w:rsid w:val="0066745E"/>
    <w:rsid w:val="00670188"/>
    <w:rsid w:val="0067100F"/>
    <w:rsid w:val="00671CBC"/>
    <w:rsid w:val="00672ED0"/>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D41"/>
    <w:rsid w:val="00696557"/>
    <w:rsid w:val="0069666B"/>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0C1C"/>
    <w:rsid w:val="006B1121"/>
    <w:rsid w:val="006B11AC"/>
    <w:rsid w:val="006B129F"/>
    <w:rsid w:val="006B17D5"/>
    <w:rsid w:val="006B20FD"/>
    <w:rsid w:val="006B26AB"/>
    <w:rsid w:val="006B2F28"/>
    <w:rsid w:val="006B2F2F"/>
    <w:rsid w:val="006B31D4"/>
    <w:rsid w:val="006B37FC"/>
    <w:rsid w:val="006B3EAE"/>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876"/>
    <w:rsid w:val="006E39F5"/>
    <w:rsid w:val="006E3DC1"/>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63A"/>
    <w:rsid w:val="00700AA9"/>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47F8"/>
    <w:rsid w:val="00745E82"/>
    <w:rsid w:val="00745EB8"/>
    <w:rsid w:val="0074618E"/>
    <w:rsid w:val="007462D9"/>
    <w:rsid w:val="00750C4F"/>
    <w:rsid w:val="007510A8"/>
    <w:rsid w:val="007512FB"/>
    <w:rsid w:val="0075183F"/>
    <w:rsid w:val="00753198"/>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248"/>
    <w:rsid w:val="00765780"/>
    <w:rsid w:val="00765D72"/>
    <w:rsid w:val="0076687C"/>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3646"/>
    <w:rsid w:val="00795EF8"/>
    <w:rsid w:val="00796C5C"/>
    <w:rsid w:val="0079794E"/>
    <w:rsid w:val="007A033A"/>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271"/>
    <w:rsid w:val="007D0AFA"/>
    <w:rsid w:val="007D1FBE"/>
    <w:rsid w:val="007D2656"/>
    <w:rsid w:val="007D2BB3"/>
    <w:rsid w:val="007D362F"/>
    <w:rsid w:val="007D3ABF"/>
    <w:rsid w:val="007D5CAE"/>
    <w:rsid w:val="007D5D77"/>
    <w:rsid w:val="007D6EAB"/>
    <w:rsid w:val="007E01FF"/>
    <w:rsid w:val="007E0F55"/>
    <w:rsid w:val="007E0F81"/>
    <w:rsid w:val="007E332E"/>
    <w:rsid w:val="007E39A9"/>
    <w:rsid w:val="007E5E3B"/>
    <w:rsid w:val="007E6FCE"/>
    <w:rsid w:val="007E766C"/>
    <w:rsid w:val="007F0985"/>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D4D"/>
    <w:rsid w:val="00816EBF"/>
    <w:rsid w:val="0081740F"/>
    <w:rsid w:val="00820F4F"/>
    <w:rsid w:val="008210B9"/>
    <w:rsid w:val="0082192F"/>
    <w:rsid w:val="00822865"/>
    <w:rsid w:val="008230E9"/>
    <w:rsid w:val="00824F35"/>
    <w:rsid w:val="008252FD"/>
    <w:rsid w:val="0082596E"/>
    <w:rsid w:val="0082598B"/>
    <w:rsid w:val="008259A4"/>
    <w:rsid w:val="00827FE6"/>
    <w:rsid w:val="008317F7"/>
    <w:rsid w:val="0083266C"/>
    <w:rsid w:val="00835451"/>
    <w:rsid w:val="008355CB"/>
    <w:rsid w:val="008359F7"/>
    <w:rsid w:val="00836AA2"/>
    <w:rsid w:val="00836CB0"/>
    <w:rsid w:val="00836DD3"/>
    <w:rsid w:val="0083714F"/>
    <w:rsid w:val="00840C09"/>
    <w:rsid w:val="00841790"/>
    <w:rsid w:val="008419F5"/>
    <w:rsid w:val="00842214"/>
    <w:rsid w:val="008464CC"/>
    <w:rsid w:val="00846B80"/>
    <w:rsid w:val="0084767C"/>
    <w:rsid w:val="00847B4E"/>
    <w:rsid w:val="00847BFD"/>
    <w:rsid w:val="00852183"/>
    <w:rsid w:val="00852E0E"/>
    <w:rsid w:val="00853A92"/>
    <w:rsid w:val="008540FB"/>
    <w:rsid w:val="00854276"/>
    <w:rsid w:val="008542CC"/>
    <w:rsid w:val="00854E92"/>
    <w:rsid w:val="00855925"/>
    <w:rsid w:val="00855DBA"/>
    <w:rsid w:val="00856EE4"/>
    <w:rsid w:val="008572C6"/>
    <w:rsid w:val="00857FE8"/>
    <w:rsid w:val="00861571"/>
    <w:rsid w:val="00861B1D"/>
    <w:rsid w:val="00861D56"/>
    <w:rsid w:val="008673E6"/>
    <w:rsid w:val="0087066E"/>
    <w:rsid w:val="00871018"/>
    <w:rsid w:val="00872D05"/>
    <w:rsid w:val="008734E2"/>
    <w:rsid w:val="0087352C"/>
    <w:rsid w:val="00873C95"/>
    <w:rsid w:val="00874384"/>
    <w:rsid w:val="0087472E"/>
    <w:rsid w:val="0087552D"/>
    <w:rsid w:val="00880188"/>
    <w:rsid w:val="0088144E"/>
    <w:rsid w:val="0088226C"/>
    <w:rsid w:val="00882F60"/>
    <w:rsid w:val="00883E2E"/>
    <w:rsid w:val="008854EF"/>
    <w:rsid w:val="00886750"/>
    <w:rsid w:val="00887089"/>
    <w:rsid w:val="00890121"/>
    <w:rsid w:val="00890C31"/>
    <w:rsid w:val="00890EE7"/>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38C5"/>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1C6"/>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2054"/>
    <w:rsid w:val="0090406D"/>
    <w:rsid w:val="00904441"/>
    <w:rsid w:val="00904768"/>
    <w:rsid w:val="009053AC"/>
    <w:rsid w:val="0090592C"/>
    <w:rsid w:val="00905F4B"/>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1D7"/>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662"/>
    <w:rsid w:val="00935B15"/>
    <w:rsid w:val="009362C1"/>
    <w:rsid w:val="00936A6F"/>
    <w:rsid w:val="00936AEC"/>
    <w:rsid w:val="00936E78"/>
    <w:rsid w:val="00937287"/>
    <w:rsid w:val="00937A7F"/>
    <w:rsid w:val="00940741"/>
    <w:rsid w:val="00941DD9"/>
    <w:rsid w:val="00941FAA"/>
    <w:rsid w:val="00942C3E"/>
    <w:rsid w:val="00943598"/>
    <w:rsid w:val="00944024"/>
    <w:rsid w:val="009442D5"/>
    <w:rsid w:val="00945A81"/>
    <w:rsid w:val="0094661F"/>
    <w:rsid w:val="00947A2C"/>
    <w:rsid w:val="009501EE"/>
    <w:rsid w:val="00951037"/>
    <w:rsid w:val="00951101"/>
    <w:rsid w:val="009526C2"/>
    <w:rsid w:val="0095299F"/>
    <w:rsid w:val="00952A39"/>
    <w:rsid w:val="00952D7D"/>
    <w:rsid w:val="009544B1"/>
    <w:rsid w:val="00954789"/>
    <w:rsid w:val="00955EEA"/>
    <w:rsid w:val="00957F2E"/>
    <w:rsid w:val="0096148E"/>
    <w:rsid w:val="00961501"/>
    <w:rsid w:val="009615EA"/>
    <w:rsid w:val="00961EA6"/>
    <w:rsid w:val="00962B62"/>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42DC"/>
    <w:rsid w:val="009852A5"/>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0ED2"/>
    <w:rsid w:val="009B1872"/>
    <w:rsid w:val="009B3256"/>
    <w:rsid w:val="009B3DBE"/>
    <w:rsid w:val="009B465C"/>
    <w:rsid w:val="009B51A5"/>
    <w:rsid w:val="009B52B1"/>
    <w:rsid w:val="009B66C8"/>
    <w:rsid w:val="009C0494"/>
    <w:rsid w:val="009C1DCE"/>
    <w:rsid w:val="009C2E4E"/>
    <w:rsid w:val="009C3805"/>
    <w:rsid w:val="009C4471"/>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4BCA"/>
    <w:rsid w:val="009F554F"/>
    <w:rsid w:val="009F6A06"/>
    <w:rsid w:val="009F72C0"/>
    <w:rsid w:val="009F73AB"/>
    <w:rsid w:val="009F749C"/>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380B"/>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5032"/>
    <w:rsid w:val="00A761AE"/>
    <w:rsid w:val="00A771FE"/>
    <w:rsid w:val="00A77903"/>
    <w:rsid w:val="00A80A21"/>
    <w:rsid w:val="00A81F16"/>
    <w:rsid w:val="00A82BB0"/>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714"/>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40B8"/>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65BA"/>
    <w:rsid w:val="00AE00A8"/>
    <w:rsid w:val="00AE06E4"/>
    <w:rsid w:val="00AE09E4"/>
    <w:rsid w:val="00AE0E4B"/>
    <w:rsid w:val="00AE2238"/>
    <w:rsid w:val="00AE2F94"/>
    <w:rsid w:val="00AE30CB"/>
    <w:rsid w:val="00AE398E"/>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283"/>
    <w:rsid w:val="00B013E8"/>
    <w:rsid w:val="00B033C8"/>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60C7"/>
    <w:rsid w:val="00B47F23"/>
    <w:rsid w:val="00B50FC3"/>
    <w:rsid w:val="00B51AB0"/>
    <w:rsid w:val="00B528E7"/>
    <w:rsid w:val="00B536BA"/>
    <w:rsid w:val="00B53D28"/>
    <w:rsid w:val="00B55CB0"/>
    <w:rsid w:val="00B566E5"/>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2DC"/>
    <w:rsid w:val="00B75AAE"/>
    <w:rsid w:val="00B762CA"/>
    <w:rsid w:val="00B765D6"/>
    <w:rsid w:val="00B7699A"/>
    <w:rsid w:val="00B83049"/>
    <w:rsid w:val="00B833CC"/>
    <w:rsid w:val="00B84571"/>
    <w:rsid w:val="00B85144"/>
    <w:rsid w:val="00B8520A"/>
    <w:rsid w:val="00B86343"/>
    <w:rsid w:val="00B875E8"/>
    <w:rsid w:val="00B904B9"/>
    <w:rsid w:val="00B919B5"/>
    <w:rsid w:val="00B92833"/>
    <w:rsid w:val="00B93A3A"/>
    <w:rsid w:val="00B94456"/>
    <w:rsid w:val="00B977B8"/>
    <w:rsid w:val="00BA0471"/>
    <w:rsid w:val="00BA0BC2"/>
    <w:rsid w:val="00BA0C2D"/>
    <w:rsid w:val="00BA0C40"/>
    <w:rsid w:val="00BA10DA"/>
    <w:rsid w:val="00BA330E"/>
    <w:rsid w:val="00BA5047"/>
    <w:rsid w:val="00BA54C2"/>
    <w:rsid w:val="00BA62A8"/>
    <w:rsid w:val="00BB188F"/>
    <w:rsid w:val="00BB1DF5"/>
    <w:rsid w:val="00BB1FC3"/>
    <w:rsid w:val="00BB26EE"/>
    <w:rsid w:val="00BB2967"/>
    <w:rsid w:val="00BB2ACB"/>
    <w:rsid w:val="00BB39DA"/>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9EA"/>
    <w:rsid w:val="00BD2C5E"/>
    <w:rsid w:val="00BD3224"/>
    <w:rsid w:val="00BD45EA"/>
    <w:rsid w:val="00BD518E"/>
    <w:rsid w:val="00BD5B1A"/>
    <w:rsid w:val="00BD5E5E"/>
    <w:rsid w:val="00BD607E"/>
    <w:rsid w:val="00BD6D75"/>
    <w:rsid w:val="00BE0588"/>
    <w:rsid w:val="00BE0A78"/>
    <w:rsid w:val="00BE0EC7"/>
    <w:rsid w:val="00BE19AC"/>
    <w:rsid w:val="00BE2701"/>
    <w:rsid w:val="00BE31A2"/>
    <w:rsid w:val="00BE3B4C"/>
    <w:rsid w:val="00BE3EAD"/>
    <w:rsid w:val="00BE4914"/>
    <w:rsid w:val="00BE4F32"/>
    <w:rsid w:val="00BE5109"/>
    <w:rsid w:val="00BE677E"/>
    <w:rsid w:val="00BE76A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35"/>
    <w:rsid w:val="00C1374D"/>
    <w:rsid w:val="00C13CEC"/>
    <w:rsid w:val="00C14121"/>
    <w:rsid w:val="00C1487A"/>
    <w:rsid w:val="00C150B4"/>
    <w:rsid w:val="00C1522B"/>
    <w:rsid w:val="00C15580"/>
    <w:rsid w:val="00C20D52"/>
    <w:rsid w:val="00C211FC"/>
    <w:rsid w:val="00C2121A"/>
    <w:rsid w:val="00C214CF"/>
    <w:rsid w:val="00C215C0"/>
    <w:rsid w:val="00C21775"/>
    <w:rsid w:val="00C21F6A"/>
    <w:rsid w:val="00C21F80"/>
    <w:rsid w:val="00C22026"/>
    <w:rsid w:val="00C22CC3"/>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18A8"/>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801E7"/>
    <w:rsid w:val="00C804E6"/>
    <w:rsid w:val="00C80AC8"/>
    <w:rsid w:val="00C80AFA"/>
    <w:rsid w:val="00C80E69"/>
    <w:rsid w:val="00C819A3"/>
    <w:rsid w:val="00C822A8"/>
    <w:rsid w:val="00C84CE2"/>
    <w:rsid w:val="00C85CDE"/>
    <w:rsid w:val="00C914DD"/>
    <w:rsid w:val="00C92E08"/>
    <w:rsid w:val="00C97052"/>
    <w:rsid w:val="00CA04BA"/>
    <w:rsid w:val="00CA0EF2"/>
    <w:rsid w:val="00CA1F0F"/>
    <w:rsid w:val="00CA25BE"/>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1427"/>
    <w:rsid w:val="00CC2892"/>
    <w:rsid w:val="00CC3323"/>
    <w:rsid w:val="00CC4B81"/>
    <w:rsid w:val="00CC550A"/>
    <w:rsid w:val="00CC5B6E"/>
    <w:rsid w:val="00CC635F"/>
    <w:rsid w:val="00CC7411"/>
    <w:rsid w:val="00CC75F4"/>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801"/>
    <w:rsid w:val="00D43AAD"/>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07C"/>
    <w:rsid w:val="00D836B3"/>
    <w:rsid w:val="00D83EB6"/>
    <w:rsid w:val="00D846DF"/>
    <w:rsid w:val="00D85013"/>
    <w:rsid w:val="00D85AE6"/>
    <w:rsid w:val="00D87BF6"/>
    <w:rsid w:val="00D91F78"/>
    <w:rsid w:val="00D92959"/>
    <w:rsid w:val="00D93655"/>
    <w:rsid w:val="00D9426A"/>
    <w:rsid w:val="00D9453F"/>
    <w:rsid w:val="00D945A9"/>
    <w:rsid w:val="00D96F68"/>
    <w:rsid w:val="00DA1147"/>
    <w:rsid w:val="00DA12D8"/>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EA6"/>
    <w:rsid w:val="00E106F4"/>
    <w:rsid w:val="00E1159D"/>
    <w:rsid w:val="00E11B68"/>
    <w:rsid w:val="00E12AF6"/>
    <w:rsid w:val="00E13413"/>
    <w:rsid w:val="00E135CE"/>
    <w:rsid w:val="00E142D4"/>
    <w:rsid w:val="00E145C5"/>
    <w:rsid w:val="00E15DD0"/>
    <w:rsid w:val="00E178A6"/>
    <w:rsid w:val="00E17B42"/>
    <w:rsid w:val="00E17DDB"/>
    <w:rsid w:val="00E20979"/>
    <w:rsid w:val="00E21A5B"/>
    <w:rsid w:val="00E23246"/>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35A8"/>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97DCC"/>
    <w:rsid w:val="00EA0B60"/>
    <w:rsid w:val="00EA10F4"/>
    <w:rsid w:val="00EA14DF"/>
    <w:rsid w:val="00EA15AE"/>
    <w:rsid w:val="00EA1FD3"/>
    <w:rsid w:val="00EA296D"/>
    <w:rsid w:val="00EA49B6"/>
    <w:rsid w:val="00EA530D"/>
    <w:rsid w:val="00EA58A1"/>
    <w:rsid w:val="00EA60C1"/>
    <w:rsid w:val="00EA6136"/>
    <w:rsid w:val="00EA6D18"/>
    <w:rsid w:val="00EB022C"/>
    <w:rsid w:val="00EB0467"/>
    <w:rsid w:val="00EB0BDF"/>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06788"/>
    <w:rsid w:val="00F10C91"/>
    <w:rsid w:val="00F1187B"/>
    <w:rsid w:val="00F11DC8"/>
    <w:rsid w:val="00F132AA"/>
    <w:rsid w:val="00F13DEB"/>
    <w:rsid w:val="00F13F2E"/>
    <w:rsid w:val="00F14739"/>
    <w:rsid w:val="00F149EC"/>
    <w:rsid w:val="00F15BB6"/>
    <w:rsid w:val="00F16BAF"/>
    <w:rsid w:val="00F171F5"/>
    <w:rsid w:val="00F17EF3"/>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58F"/>
    <w:rsid w:val="00F429E8"/>
    <w:rsid w:val="00F42D88"/>
    <w:rsid w:val="00F43901"/>
    <w:rsid w:val="00F43B5F"/>
    <w:rsid w:val="00F4529C"/>
    <w:rsid w:val="00F45A20"/>
    <w:rsid w:val="00F45C9E"/>
    <w:rsid w:val="00F50BBD"/>
    <w:rsid w:val="00F50CE4"/>
    <w:rsid w:val="00F50E9C"/>
    <w:rsid w:val="00F5119A"/>
    <w:rsid w:val="00F53566"/>
    <w:rsid w:val="00F53681"/>
    <w:rsid w:val="00F55C5F"/>
    <w:rsid w:val="00F57AE6"/>
    <w:rsid w:val="00F604BD"/>
    <w:rsid w:val="00F60B3B"/>
    <w:rsid w:val="00F61BE6"/>
    <w:rsid w:val="00F61C12"/>
    <w:rsid w:val="00F61E1F"/>
    <w:rsid w:val="00F62412"/>
    <w:rsid w:val="00F62D8C"/>
    <w:rsid w:val="00F6392F"/>
    <w:rsid w:val="00F64F32"/>
    <w:rsid w:val="00F653A3"/>
    <w:rsid w:val="00F65BB9"/>
    <w:rsid w:val="00F67292"/>
    <w:rsid w:val="00F67957"/>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7F5"/>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994"/>
    <w:rsid w:val="00FA3BD7"/>
    <w:rsid w:val="00FA52B0"/>
    <w:rsid w:val="00FA5936"/>
    <w:rsid w:val="00FA5BAC"/>
    <w:rsid w:val="00FA6339"/>
    <w:rsid w:val="00FA7501"/>
    <w:rsid w:val="00FA77D7"/>
    <w:rsid w:val="00FA7A70"/>
    <w:rsid w:val="00FB23FC"/>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5:docId w15:val="{4DF67FA1-5590-4923-8783-F5D81C7B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801"/>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652E4B"/>
    <w:pPr>
      <w:keepNext/>
      <w:numPr>
        <w:numId w:val="6"/>
      </w:numPr>
      <w:spacing w:before="240" w:after="60"/>
      <w:ind w:left="0" w:firstLine="0"/>
      <w:outlineLvl w:val="0"/>
    </w:pPr>
    <w:rPr>
      <w:rFonts w:ascii="Times New Roman" w:hAnsi="Times New Roman" w:cs="Times New Roman"/>
      <w:b/>
      <w:bCs/>
      <w:kern w:val="32"/>
      <w:sz w:val="28"/>
      <w:szCs w:val="28"/>
      <w:lang w:val="sv-SE"/>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D438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801"/>
  </w:style>
  <w:style w:type="paragraph" w:styleId="BodyText">
    <w:name w:val="Body Text"/>
    <w:basedOn w:val="Normal"/>
    <w:link w:val="BodyTextChar"/>
    <w:rsid w:val="00E12AF6"/>
    <w:pPr>
      <w:spacing w:after="120"/>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92899276">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ftp://ftp.3gpp.org/tsg_geran/TSG_GERAN/GERAN_65_Shanghai/Docs/GP-150317.zip"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work\GERAN_evolution\EC_PCH\simulation\EC_PCH.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work\GERAN_evolution\EC_PCH\simulation\EC_PCH.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FER of EC-AGCH without</a:t>
            </a:r>
            <a:r>
              <a:rPr lang="en-US" altLang="zh-CN" sz="1600" baseline="0"/>
              <a:t> IQ accumulation</a:t>
            </a:r>
            <a:r>
              <a:rPr lang="en-US" altLang="zh-CN" sz="1600"/>
              <a:t>, TU1Hz</a:t>
            </a:r>
          </a:p>
        </c:rich>
      </c:tx>
      <c:overlay val="0"/>
    </c:title>
    <c:autoTitleDeleted val="0"/>
    <c:plotArea>
      <c:layout/>
      <c:scatterChart>
        <c:scatterStyle val="lineMarker"/>
        <c:varyColors val="0"/>
        <c:ser>
          <c:idx val="0"/>
          <c:order val="0"/>
          <c:tx>
            <c:v>performance of 32 radio block repetition</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0.99929999999999997</c:v>
              </c:pt>
              <c:pt idx="1">
                <c:v>0.997</c:v>
              </c:pt>
              <c:pt idx="2">
                <c:v>0.98909999999999998</c:v>
              </c:pt>
              <c:pt idx="3">
                <c:v>0.96589999999999998</c:v>
              </c:pt>
              <c:pt idx="4">
                <c:v>0.92069999999999996</c:v>
              </c:pt>
              <c:pt idx="5">
                <c:v>0.84689999999999999</c:v>
              </c:pt>
              <c:pt idx="6">
                <c:v>0.73550000000000004</c:v>
              </c:pt>
              <c:pt idx="7">
                <c:v>0.60750000000000004</c:v>
              </c:pt>
              <c:pt idx="8">
                <c:v>0.46860000000000002</c:v>
              </c:pt>
              <c:pt idx="9">
                <c:v>0.34039999999999998</c:v>
              </c:pt>
              <c:pt idx="10">
                <c:v>0.2263</c:v>
              </c:pt>
              <c:pt idx="11">
                <c:v>0.14460000000000001</c:v>
              </c:pt>
              <c:pt idx="12">
                <c:v>8.7800000000000003E-2</c:v>
              </c:pt>
              <c:pt idx="13">
                <c:v>5.0599999999999999E-2</c:v>
              </c:pt>
              <c:pt idx="14">
                <c:v>2.5600000000000001E-2</c:v>
              </c:pt>
              <c:pt idx="15">
                <c:v>1.4200000000000001E-2</c:v>
              </c:pt>
              <c:pt idx="16">
                <c:v>8.0999999999999996E-3</c:v>
              </c:pt>
              <c:pt idx="17">
                <c:v>3.3999999999999998E-3</c:v>
              </c:pt>
              <c:pt idx="18">
                <c:v>1.1000000000000001E-3</c:v>
              </c:pt>
              <c:pt idx="19">
                <c:v>5.0000000000000001E-4</c:v>
              </c:pt>
              <c:pt idx="20">
                <c:v>1E-4</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1"/>
          <c:order val="1"/>
          <c:tx>
            <c:v>required SNR</c:v>
          </c:tx>
          <c:spPr>
            <a:ln w="50800">
              <a:prstDash val="dash"/>
            </a:ln>
          </c:spPr>
          <c:marker>
            <c:symbol val="none"/>
          </c:marker>
          <c:xVal>
            <c:numLit>
              <c:formatCode>General</c:formatCode>
              <c:ptCount val="31"/>
              <c:pt idx="0">
                <c:v>-6.3</c:v>
              </c:pt>
              <c:pt idx="1">
                <c:v>-6.3</c:v>
              </c:pt>
              <c:pt idx="2">
                <c:v>-6.3</c:v>
              </c:pt>
              <c:pt idx="3">
                <c:v>-6.3</c:v>
              </c:pt>
              <c:pt idx="4">
                <c:v>-6.3</c:v>
              </c:pt>
              <c:pt idx="5">
                <c:v>-6.3</c:v>
              </c:pt>
              <c:pt idx="6">
                <c:v>-6.3</c:v>
              </c:pt>
              <c:pt idx="7">
                <c:v>-6.3</c:v>
              </c:pt>
              <c:pt idx="8">
                <c:v>-6.3</c:v>
              </c:pt>
              <c:pt idx="9">
                <c:v>-6.3</c:v>
              </c:pt>
              <c:pt idx="10">
                <c:v>-6.3</c:v>
              </c:pt>
              <c:pt idx="11">
                <c:v>-6.3</c:v>
              </c:pt>
              <c:pt idx="12">
                <c:v>-6.3</c:v>
              </c:pt>
              <c:pt idx="13">
                <c:v>-6.3</c:v>
              </c:pt>
              <c:pt idx="14">
                <c:v>-6.3</c:v>
              </c:pt>
              <c:pt idx="15">
                <c:v>-6.3</c:v>
              </c:pt>
              <c:pt idx="16">
                <c:v>-6.3</c:v>
              </c:pt>
              <c:pt idx="17">
                <c:v>-6.3</c:v>
              </c:pt>
              <c:pt idx="18">
                <c:v>-6.3</c:v>
              </c:pt>
              <c:pt idx="19">
                <c:v>-6.3</c:v>
              </c:pt>
              <c:pt idx="20">
                <c:v>-6.3</c:v>
              </c:pt>
              <c:pt idx="21">
                <c:v>-6.3</c:v>
              </c:pt>
              <c:pt idx="22">
                <c:v>-6.3</c:v>
              </c:pt>
              <c:pt idx="23">
                <c:v>-6.3</c:v>
              </c:pt>
              <c:pt idx="24">
                <c:v>-6.3</c:v>
              </c:pt>
              <c:pt idx="25">
                <c:v>-6.3</c:v>
              </c:pt>
              <c:pt idx="26">
                <c:v>-6.3</c:v>
              </c:pt>
              <c:pt idx="27">
                <c:v>-6.3</c:v>
              </c:pt>
              <c:pt idx="28">
                <c:v>-6.3</c:v>
              </c:pt>
              <c:pt idx="29">
                <c:v>-6.3</c:v>
              </c:pt>
              <c:pt idx="30">
                <c:v>-6.3</c:v>
              </c:pt>
            </c:numLit>
          </c:xVal>
          <c:yVal>
            <c:numLit>
              <c:formatCode>General</c:formatCode>
              <c:ptCount val="31"/>
              <c:pt idx="0">
                <c:v>9.9999999999999995E-7</c:v>
              </c:pt>
              <c:pt idx="1">
                <c:v>9.9999900000000003E-2</c:v>
              </c:pt>
              <c:pt idx="2">
                <c:v>0.19999980000000001</c:v>
              </c:pt>
              <c:pt idx="3">
                <c:v>0.29999969999999998</c:v>
              </c:pt>
              <c:pt idx="4">
                <c:v>0.39999960000000001</c:v>
              </c:pt>
              <c:pt idx="5">
                <c:v>0.49999949999999999</c:v>
              </c:pt>
              <c:pt idx="6">
                <c:v>0.59999939999999996</c:v>
              </c:pt>
              <c:pt idx="7">
                <c:v>0.69999929999999999</c:v>
              </c:pt>
              <c:pt idx="8">
                <c:v>0.79999920000000002</c:v>
              </c:pt>
              <c:pt idx="9">
                <c:v>0.89999910000000005</c:v>
              </c:pt>
              <c:pt idx="10">
                <c:v>0.99999899999999997</c:v>
              </c:pt>
              <c:pt idx="11">
                <c:v>1.0999988999999999</c:v>
              </c:pt>
              <c:pt idx="12">
                <c:v>1.1999987999999999</c:v>
              </c:pt>
              <c:pt idx="13">
                <c:v>1.2999987</c:v>
              </c:pt>
              <c:pt idx="14">
                <c:v>1.3999986</c:v>
              </c:pt>
              <c:pt idx="15">
                <c:v>1.4999985</c:v>
              </c:pt>
              <c:pt idx="16">
                <c:v>1.5999984</c:v>
              </c:pt>
              <c:pt idx="17">
                <c:v>1.6999983000000001</c:v>
              </c:pt>
              <c:pt idx="18">
                <c:v>1.7999982000000001</c:v>
              </c:pt>
              <c:pt idx="19">
                <c:v>1.8999980999999999</c:v>
              </c:pt>
              <c:pt idx="20">
                <c:v>1.9999979999999999</c:v>
              </c:pt>
              <c:pt idx="21">
                <c:v>2.0999979</c:v>
              </c:pt>
              <c:pt idx="22">
                <c:v>2.1999977999999998</c:v>
              </c:pt>
              <c:pt idx="23">
                <c:v>2.2999977</c:v>
              </c:pt>
              <c:pt idx="24">
                <c:v>2.3999975999999998</c:v>
              </c:pt>
              <c:pt idx="25">
                <c:v>2.4999975000000001</c:v>
              </c:pt>
              <c:pt idx="26">
                <c:v>2.5999973999999999</c:v>
              </c:pt>
              <c:pt idx="27">
                <c:v>2.6999973000000002</c:v>
              </c:pt>
              <c:pt idx="28">
                <c:v>2.7999972</c:v>
              </c:pt>
              <c:pt idx="29">
                <c:v>2.8999971000000002</c:v>
              </c:pt>
              <c:pt idx="30">
                <c:v>2.999997</c:v>
              </c:pt>
            </c:numLit>
          </c:yVal>
          <c:smooth val="0"/>
        </c:ser>
        <c:dLbls>
          <c:showLegendKey val="0"/>
          <c:showVal val="0"/>
          <c:showCatName val="0"/>
          <c:showSerName val="0"/>
          <c:showPercent val="0"/>
          <c:showBubbleSize val="0"/>
        </c:dLbls>
        <c:axId val="527626680"/>
        <c:axId val="527627072"/>
      </c:scatterChart>
      <c:valAx>
        <c:axId val="527626680"/>
        <c:scaling>
          <c:orientation val="minMax"/>
          <c:max val="5"/>
          <c:min val="-15"/>
        </c:scaling>
        <c:delete val="0"/>
        <c:axPos val="b"/>
        <c:majorGridlines/>
        <c:minorGridlines/>
        <c:title>
          <c:tx>
            <c:rich>
              <a:bodyPr/>
              <a:lstStyle/>
              <a:p>
                <a:pPr>
                  <a:defRPr/>
                </a:pPr>
                <a:r>
                  <a:rPr lang="en-US" altLang="zh-CN"/>
                  <a:t>SNR</a:t>
                </a:r>
                <a:r>
                  <a:rPr lang="en-US" altLang="zh-CN" baseline="0"/>
                  <a:t> (dB)</a:t>
                </a:r>
                <a:endParaRPr lang="en-US" altLang="zh-CN"/>
              </a:p>
            </c:rich>
          </c:tx>
          <c:overlay val="0"/>
        </c:title>
        <c:numFmt formatCode="General" sourceLinked="1"/>
        <c:majorTickMark val="none"/>
        <c:minorTickMark val="none"/>
        <c:tickLblPos val="nextTo"/>
        <c:crossAx val="527627072"/>
        <c:crosses val="autoZero"/>
        <c:crossBetween val="midCat"/>
      </c:valAx>
      <c:valAx>
        <c:axId val="527627072"/>
        <c:scaling>
          <c:logBase val="10"/>
          <c:orientation val="minMax"/>
          <c:max val="1"/>
          <c:min val="1.0000000000000002E-3"/>
        </c:scaling>
        <c:delete val="0"/>
        <c:axPos val="l"/>
        <c:majorGridlines/>
        <c:minorGridlines/>
        <c:title>
          <c:tx>
            <c:rich>
              <a:bodyPr/>
              <a:lstStyle/>
              <a:p>
                <a:pPr>
                  <a:defRPr/>
                </a:pPr>
                <a:r>
                  <a:rPr lang="en-US" altLang="zh-CN"/>
                  <a:t>FER</a:t>
                </a:r>
              </a:p>
            </c:rich>
          </c:tx>
          <c:overlay val="0"/>
        </c:title>
        <c:numFmt formatCode="General" sourceLinked="1"/>
        <c:majorTickMark val="none"/>
        <c:minorTickMark val="none"/>
        <c:tickLblPos val="nextTo"/>
        <c:crossAx val="527626680"/>
        <c:crossesAt val="-20"/>
        <c:crossBetween val="midCat"/>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t>FER of EC-AGCH with IQ accumulation, TU1Hz</a:t>
            </a:r>
            <a:r>
              <a:rPr lang="en-US" altLang="zh-CN" baseline="0"/>
              <a:t> </a:t>
            </a:r>
            <a:endParaRPr lang="en-US" altLang="zh-CN"/>
          </a:p>
        </c:rich>
      </c:tx>
      <c:overlay val="0"/>
    </c:title>
    <c:autoTitleDeleted val="0"/>
    <c:plotArea>
      <c:layout/>
      <c:scatterChart>
        <c:scatterStyle val="lineMarker"/>
        <c:varyColors val="0"/>
        <c:ser>
          <c:idx val="0"/>
          <c:order val="0"/>
          <c:tx>
            <c:v>frequency error = 0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0.88239999999999996</c:v>
              </c:pt>
              <c:pt idx="1">
                <c:v>0.78979999999999995</c:v>
              </c:pt>
              <c:pt idx="2">
                <c:v>0.67600000000000005</c:v>
              </c:pt>
              <c:pt idx="3">
                <c:v>0.54469999999999996</c:v>
              </c:pt>
              <c:pt idx="4">
                <c:v>0.40350000000000003</c:v>
              </c:pt>
              <c:pt idx="5">
                <c:v>0.25829999999999997</c:v>
              </c:pt>
              <c:pt idx="6">
                <c:v>0.15690000000000001</c:v>
              </c:pt>
              <c:pt idx="7">
                <c:v>9.6000000000000002E-2</c:v>
              </c:pt>
              <c:pt idx="8">
                <c:v>5.5E-2</c:v>
              </c:pt>
              <c:pt idx="9">
                <c:v>3.1699999999999999E-2</c:v>
              </c:pt>
              <c:pt idx="10">
                <c:v>1.72E-2</c:v>
              </c:pt>
              <c:pt idx="11">
                <c:v>8.6E-3</c:v>
              </c:pt>
              <c:pt idx="12">
                <c:v>4.1999999999999997E-3</c:v>
              </c:pt>
              <c:pt idx="13">
                <c:v>1.6999999999999999E-3</c:v>
              </c:pt>
              <c:pt idx="14">
                <c:v>4.0000000000000002E-4</c:v>
              </c:pt>
              <c:pt idx="15">
                <c:v>9.9999999999999995E-7</c:v>
              </c:pt>
              <c:pt idx="16">
                <c:v>9.9999999999999995E-7</c:v>
              </c:pt>
              <c:pt idx="17">
                <c:v>9.9999999999999995E-7</c:v>
              </c:pt>
              <c:pt idx="18">
                <c:v>9.9999999999999995E-7</c:v>
              </c:pt>
              <c:pt idx="19">
                <c:v>9.9999999999999995E-7</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1"/>
          <c:order val="1"/>
          <c:tx>
            <c:v>frequency error = 5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0.97499999999999998</c:v>
              </c:pt>
              <c:pt idx="1">
                <c:v>0.94230000000000003</c:v>
              </c:pt>
              <c:pt idx="2">
                <c:v>0.8861</c:v>
              </c:pt>
              <c:pt idx="3">
                <c:v>0.79490000000000005</c:v>
              </c:pt>
              <c:pt idx="4">
                <c:v>0.67559999999999998</c:v>
              </c:pt>
              <c:pt idx="5">
                <c:v>0.53269999999999995</c:v>
              </c:pt>
              <c:pt idx="6">
                <c:v>0.37119999999999997</c:v>
              </c:pt>
              <c:pt idx="7">
                <c:v>0.24790000000000001</c:v>
              </c:pt>
              <c:pt idx="8">
                <c:v>0.16619999999999999</c:v>
              </c:pt>
              <c:pt idx="9">
                <c:v>0.1027</c:v>
              </c:pt>
              <c:pt idx="10">
                <c:v>6.13E-2</c:v>
              </c:pt>
              <c:pt idx="11">
                <c:v>3.3000000000000002E-2</c:v>
              </c:pt>
              <c:pt idx="12">
                <c:v>1.6400000000000001E-2</c:v>
              </c:pt>
              <c:pt idx="13">
                <c:v>8.3000000000000001E-3</c:v>
              </c:pt>
              <c:pt idx="14">
                <c:v>3.8E-3</c:v>
              </c:pt>
              <c:pt idx="15">
                <c:v>1.4E-3</c:v>
              </c:pt>
              <c:pt idx="16">
                <c:v>5.0000000000000001E-4</c:v>
              </c:pt>
              <c:pt idx="17">
                <c:v>2.9999999999999997E-4</c:v>
              </c:pt>
              <c:pt idx="18">
                <c:v>1E-4</c:v>
              </c:pt>
              <c:pt idx="19">
                <c:v>1E-4</c:v>
              </c:pt>
              <c:pt idx="20">
                <c:v>9.9999999999999995E-7</c:v>
              </c:pt>
              <c:pt idx="21">
                <c:v>9.9999999999999995E-7</c:v>
              </c:pt>
              <c:pt idx="22">
                <c:v>9.9999999999999995E-7</c:v>
              </c:pt>
              <c:pt idx="23">
                <c:v>9.9999999999999995E-7</c:v>
              </c:pt>
              <c:pt idx="24">
                <c:v>9.9999999999999995E-7</c:v>
              </c:pt>
              <c:pt idx="25">
                <c:v>9.9999999999999995E-7</c:v>
              </c:pt>
              <c:pt idx="26">
                <c:v>9.9999999999999995E-7</c:v>
              </c:pt>
              <c:pt idx="27">
                <c:v>9.9999999999999995E-7</c:v>
              </c:pt>
              <c:pt idx="28">
                <c:v>9.9999999999999995E-7</c:v>
              </c:pt>
              <c:pt idx="29">
                <c:v>9.9999999999999995E-7</c:v>
              </c:pt>
              <c:pt idx="30">
                <c:v>9.9999999999999995E-7</c:v>
              </c:pt>
            </c:numLit>
          </c:yVal>
          <c:smooth val="0"/>
        </c:ser>
        <c:ser>
          <c:idx val="2"/>
          <c:order val="2"/>
          <c:tx>
            <c:v>frequency error = 10 Hz</c:v>
          </c:tx>
          <c:spPr>
            <a:ln w="25400">
              <a:prstDash val="solid"/>
            </a:ln>
          </c:spPr>
          <c:xVal>
            <c:numLit>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Lit>
          </c:xVal>
          <c:yVal>
            <c:numLit>
              <c:formatCode>General</c:formatCode>
              <c:ptCount val="31"/>
              <c:pt idx="0">
                <c:v>1</c:v>
              </c:pt>
              <c:pt idx="1">
                <c:v>1</c:v>
              </c:pt>
              <c:pt idx="2">
                <c:v>1</c:v>
              </c:pt>
              <c:pt idx="3">
                <c:v>1</c:v>
              </c:pt>
              <c:pt idx="4">
                <c:v>1</c:v>
              </c:pt>
              <c:pt idx="5">
                <c:v>0.99919999999999998</c:v>
              </c:pt>
              <c:pt idx="6">
                <c:v>0.99550000000000005</c:v>
              </c:pt>
              <c:pt idx="7">
                <c:v>0.98560000000000003</c:v>
              </c:pt>
              <c:pt idx="8">
                <c:v>0.96489999999999998</c:v>
              </c:pt>
              <c:pt idx="9">
                <c:v>0.92369999999999997</c:v>
              </c:pt>
              <c:pt idx="10">
                <c:v>0.85640000000000005</c:v>
              </c:pt>
              <c:pt idx="11">
                <c:v>0.76439999999999997</c:v>
              </c:pt>
              <c:pt idx="12">
                <c:v>0.63759999999999994</c:v>
              </c:pt>
              <c:pt idx="13">
                <c:v>0.4929</c:v>
              </c:pt>
              <c:pt idx="14">
                <c:v>0.37769999999999998</c:v>
              </c:pt>
              <c:pt idx="15">
                <c:v>0.2661</c:v>
              </c:pt>
              <c:pt idx="16">
                <c:v>0.1638</c:v>
              </c:pt>
              <c:pt idx="17">
                <c:v>9.6000000000000002E-2</c:v>
              </c:pt>
              <c:pt idx="18">
                <c:v>5.67E-2</c:v>
              </c:pt>
              <c:pt idx="19">
                <c:v>3.04E-2</c:v>
              </c:pt>
              <c:pt idx="20">
                <c:v>1.5599999999999999E-2</c:v>
              </c:pt>
              <c:pt idx="21">
                <c:v>8.6999999999999994E-3</c:v>
              </c:pt>
              <c:pt idx="22">
                <c:v>3.8E-3</c:v>
              </c:pt>
              <c:pt idx="23">
                <c:v>1.9E-3</c:v>
              </c:pt>
              <c:pt idx="24">
                <c:v>6.9999999999999999E-4</c:v>
              </c:pt>
              <c:pt idx="25">
                <c:v>2.9999999999999997E-4</c:v>
              </c:pt>
              <c:pt idx="26">
                <c:v>2.0000000000000001E-4</c:v>
              </c:pt>
              <c:pt idx="27">
                <c:v>1E-4</c:v>
              </c:pt>
              <c:pt idx="28">
                <c:v>9.9999999999999995E-7</c:v>
              </c:pt>
              <c:pt idx="29">
                <c:v>9.9999999999999995E-7</c:v>
              </c:pt>
              <c:pt idx="30">
                <c:v>9.9999999999999995E-7</c:v>
              </c:pt>
            </c:numLit>
          </c:yVal>
          <c:smooth val="0"/>
        </c:ser>
        <c:ser>
          <c:idx val="6"/>
          <c:order val="3"/>
          <c:tx>
            <c:v>required SNR</c:v>
          </c:tx>
          <c:spPr>
            <a:ln w="25400">
              <a:solidFill>
                <a:srgbClr val="FF0000"/>
              </a:solidFill>
              <a:prstDash val="sysDot"/>
            </a:ln>
          </c:spPr>
          <c:marker>
            <c:symbol val="none"/>
          </c:marker>
          <c:xVal>
            <c:numLit>
              <c:formatCode>General</c:formatCode>
              <c:ptCount val="31"/>
              <c:pt idx="0">
                <c:v>-6.3</c:v>
              </c:pt>
              <c:pt idx="1">
                <c:v>-6.3</c:v>
              </c:pt>
              <c:pt idx="2">
                <c:v>-6.3</c:v>
              </c:pt>
              <c:pt idx="3">
                <c:v>-6.3</c:v>
              </c:pt>
              <c:pt idx="4">
                <c:v>-6.3</c:v>
              </c:pt>
              <c:pt idx="5">
                <c:v>-6.3</c:v>
              </c:pt>
              <c:pt idx="6">
                <c:v>-6.3</c:v>
              </c:pt>
              <c:pt idx="7">
                <c:v>-6.3</c:v>
              </c:pt>
              <c:pt idx="8">
                <c:v>-6.3</c:v>
              </c:pt>
              <c:pt idx="9">
                <c:v>-6.3</c:v>
              </c:pt>
              <c:pt idx="10">
                <c:v>-6.3</c:v>
              </c:pt>
              <c:pt idx="11">
                <c:v>-6.3</c:v>
              </c:pt>
              <c:pt idx="12">
                <c:v>-6.3</c:v>
              </c:pt>
              <c:pt idx="13">
                <c:v>-6.3</c:v>
              </c:pt>
              <c:pt idx="14">
                <c:v>-6.3</c:v>
              </c:pt>
              <c:pt idx="15">
                <c:v>-6.3</c:v>
              </c:pt>
              <c:pt idx="16">
                <c:v>-6.3</c:v>
              </c:pt>
              <c:pt idx="17">
                <c:v>-6.3</c:v>
              </c:pt>
              <c:pt idx="18">
                <c:v>-6.3</c:v>
              </c:pt>
              <c:pt idx="19">
                <c:v>-6.3</c:v>
              </c:pt>
              <c:pt idx="20">
                <c:v>-6.3</c:v>
              </c:pt>
              <c:pt idx="21">
                <c:v>-6.3</c:v>
              </c:pt>
              <c:pt idx="22">
                <c:v>-6.3</c:v>
              </c:pt>
              <c:pt idx="23">
                <c:v>-6.3</c:v>
              </c:pt>
              <c:pt idx="24">
                <c:v>-6.3</c:v>
              </c:pt>
              <c:pt idx="25">
                <c:v>-6.3</c:v>
              </c:pt>
              <c:pt idx="26">
                <c:v>-6.3</c:v>
              </c:pt>
              <c:pt idx="27">
                <c:v>-6.3</c:v>
              </c:pt>
              <c:pt idx="28">
                <c:v>-6.3</c:v>
              </c:pt>
              <c:pt idx="29">
                <c:v>-6.3</c:v>
              </c:pt>
              <c:pt idx="30">
                <c:v>-6.3</c:v>
              </c:pt>
            </c:numLit>
          </c:xVal>
          <c:yVal>
            <c:numLit>
              <c:formatCode>General</c:formatCode>
              <c:ptCount val="31"/>
              <c:pt idx="0">
                <c:v>9.9999999999999995E-7</c:v>
              </c:pt>
              <c:pt idx="1">
                <c:v>9.9999900000000003E-2</c:v>
              </c:pt>
              <c:pt idx="2">
                <c:v>0.19999980000000001</c:v>
              </c:pt>
              <c:pt idx="3">
                <c:v>0.29999969999999998</c:v>
              </c:pt>
              <c:pt idx="4">
                <c:v>0.39999960000000001</c:v>
              </c:pt>
              <c:pt idx="5">
                <c:v>0.49999949999999999</c:v>
              </c:pt>
              <c:pt idx="6">
                <c:v>0.59999939999999996</c:v>
              </c:pt>
              <c:pt idx="7">
                <c:v>0.69999929999999999</c:v>
              </c:pt>
              <c:pt idx="8">
                <c:v>0.79999920000000002</c:v>
              </c:pt>
              <c:pt idx="9">
                <c:v>0.89999910000000005</c:v>
              </c:pt>
              <c:pt idx="10">
                <c:v>0.99999899999999997</c:v>
              </c:pt>
              <c:pt idx="11">
                <c:v>1.0999988999999999</c:v>
              </c:pt>
              <c:pt idx="12">
                <c:v>1.1999987999999999</c:v>
              </c:pt>
              <c:pt idx="13">
                <c:v>1.2999987</c:v>
              </c:pt>
              <c:pt idx="14">
                <c:v>1.3999986</c:v>
              </c:pt>
              <c:pt idx="15">
                <c:v>1.4999985</c:v>
              </c:pt>
              <c:pt idx="16">
                <c:v>1.5999984</c:v>
              </c:pt>
              <c:pt idx="17">
                <c:v>1.6999983000000001</c:v>
              </c:pt>
              <c:pt idx="18">
                <c:v>1.7999982000000001</c:v>
              </c:pt>
              <c:pt idx="19">
                <c:v>1.8999980999999999</c:v>
              </c:pt>
              <c:pt idx="20">
                <c:v>1.9999979999999999</c:v>
              </c:pt>
              <c:pt idx="21">
                <c:v>2.0999979</c:v>
              </c:pt>
              <c:pt idx="22">
                <c:v>2.1999977999999998</c:v>
              </c:pt>
              <c:pt idx="23">
                <c:v>2.2999977</c:v>
              </c:pt>
              <c:pt idx="24">
                <c:v>2.3999975999999998</c:v>
              </c:pt>
              <c:pt idx="25">
                <c:v>2.4999975000000001</c:v>
              </c:pt>
              <c:pt idx="26">
                <c:v>2.5999973999999999</c:v>
              </c:pt>
              <c:pt idx="27">
                <c:v>2.6999973000000002</c:v>
              </c:pt>
              <c:pt idx="28">
                <c:v>2.7999972</c:v>
              </c:pt>
              <c:pt idx="29">
                <c:v>2.8999971000000002</c:v>
              </c:pt>
              <c:pt idx="30">
                <c:v>2.999997</c:v>
              </c:pt>
            </c:numLit>
          </c:yVal>
          <c:smooth val="0"/>
        </c:ser>
        <c:ser>
          <c:idx val="7"/>
          <c:order val="4"/>
          <c:tx>
            <c:v>E/// Performance</c:v>
          </c:tx>
          <c:spPr>
            <a:ln w="25400">
              <a:solidFill>
                <a:srgbClr val="00B050"/>
              </a:solidFill>
              <a:prstDash val="solid"/>
            </a:ln>
          </c:spPr>
          <c:marker>
            <c:symbol val="circle"/>
            <c:size val="5"/>
          </c:marker>
          <c:xVal>
            <c:numLit>
              <c:formatCode>General</c:formatCode>
              <c:ptCount val="4"/>
              <c:pt idx="0">
                <c:v>-10</c:v>
              </c:pt>
              <c:pt idx="1">
                <c:v>-8</c:v>
              </c:pt>
              <c:pt idx="2">
                <c:v>-6</c:v>
              </c:pt>
              <c:pt idx="3">
                <c:v>-4</c:v>
              </c:pt>
            </c:numLit>
          </c:xVal>
          <c:yVal>
            <c:numLit>
              <c:formatCode>General</c:formatCode>
              <c:ptCount val="4"/>
              <c:pt idx="0">
                <c:v>0.2</c:v>
              </c:pt>
              <c:pt idx="1">
                <c:v>8.5000000000000006E-2</c:v>
              </c:pt>
              <c:pt idx="2">
                <c:v>2.5000000000000001E-2</c:v>
              </c:pt>
              <c:pt idx="3">
                <c:v>5.4999999999999997E-3</c:v>
              </c:pt>
            </c:numLit>
          </c:yVal>
          <c:smooth val="0"/>
        </c:ser>
        <c:dLbls>
          <c:showLegendKey val="0"/>
          <c:showVal val="0"/>
          <c:showCatName val="0"/>
          <c:showSerName val="0"/>
          <c:showPercent val="0"/>
          <c:showBubbleSize val="0"/>
        </c:dLbls>
        <c:axId val="527628640"/>
        <c:axId val="531023624"/>
      </c:scatterChart>
      <c:valAx>
        <c:axId val="527628640"/>
        <c:scaling>
          <c:orientation val="minMax"/>
          <c:max val="5"/>
          <c:min val="-15"/>
        </c:scaling>
        <c:delete val="0"/>
        <c:axPos val="b"/>
        <c:majorGridlines/>
        <c:minorGridlines/>
        <c:title>
          <c:tx>
            <c:rich>
              <a:bodyPr/>
              <a:lstStyle/>
              <a:p>
                <a:pPr>
                  <a:defRPr/>
                </a:pPr>
                <a:r>
                  <a:rPr lang="en-US" altLang="zh-CN"/>
                  <a:t>SNR</a:t>
                </a:r>
              </a:p>
            </c:rich>
          </c:tx>
          <c:overlay val="0"/>
        </c:title>
        <c:numFmt formatCode="General" sourceLinked="1"/>
        <c:majorTickMark val="none"/>
        <c:minorTickMark val="none"/>
        <c:tickLblPos val="nextTo"/>
        <c:crossAx val="531023624"/>
        <c:crosses val="autoZero"/>
        <c:crossBetween val="midCat"/>
      </c:valAx>
      <c:valAx>
        <c:axId val="531023624"/>
        <c:scaling>
          <c:logBase val="10"/>
          <c:orientation val="minMax"/>
          <c:max val="1"/>
          <c:min val="1.0000000000000002E-3"/>
        </c:scaling>
        <c:delete val="0"/>
        <c:axPos val="l"/>
        <c:majorGridlines/>
        <c:minorGridlines/>
        <c:title>
          <c:tx>
            <c:rich>
              <a:bodyPr/>
              <a:lstStyle/>
              <a:p>
                <a:pPr>
                  <a:defRPr/>
                </a:pPr>
                <a:r>
                  <a:rPr lang="en-US" altLang="zh-CN"/>
                  <a:t>FER</a:t>
                </a:r>
              </a:p>
            </c:rich>
          </c:tx>
          <c:overlay val="0"/>
        </c:title>
        <c:numFmt formatCode="General" sourceLinked="1"/>
        <c:majorTickMark val="none"/>
        <c:minorTickMark val="none"/>
        <c:tickLblPos val="nextTo"/>
        <c:crossAx val="527628640"/>
        <c:crossesAt val="-20"/>
        <c:crossBetween val="midCat"/>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B7354-4903-47C5-8E79-B574E2947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6</Pages>
  <Words>845</Words>
  <Characters>4821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5655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 Yunshuai</dc:creator>
  <cp:lastModifiedBy>Kecicioglu, Balkan</cp:lastModifiedBy>
  <cp:revision>75</cp:revision>
  <cp:lastPrinted>2013-02-08T15:42:00Z</cp:lastPrinted>
  <dcterms:created xsi:type="dcterms:W3CDTF">2015-05-15T02:54:00Z</dcterms:created>
  <dcterms:modified xsi:type="dcterms:W3CDTF">2015-05-20T00:27:00Z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